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DE" w:rsidRDefault="00A22FDE" w:rsidP="00A22FDE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94BC19" wp14:editId="7D00FBEC">
            <wp:simplePos x="0" y="0"/>
            <wp:positionH relativeFrom="column">
              <wp:posOffset>4773930</wp:posOffset>
            </wp:positionH>
            <wp:positionV relativeFrom="paragraph">
              <wp:posOffset>-321945</wp:posOffset>
            </wp:positionV>
            <wp:extent cx="1695450" cy="1152376"/>
            <wp:effectExtent l="0" t="0" r="0" b="0"/>
            <wp:wrapNone/>
            <wp:docPr id="3" name="Picture 3" descr="C:\Users\kelamond\Pictures\esett-logo_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amond\Pictures\esett-logo_cro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896">
        <w:t xml:space="preserve"> </w:t>
      </w:r>
    </w:p>
    <w:p w:rsidR="00642FCC" w:rsidRPr="00A22FDE" w:rsidRDefault="00642FCC" w:rsidP="00A22FDE">
      <w:pPr>
        <w:spacing w:after="0" w:line="240" w:lineRule="auto"/>
      </w:pPr>
      <w:r w:rsidRPr="00A22FDE">
        <w:t>[Date]</w:t>
      </w:r>
      <w:r w:rsidR="00A22FDE" w:rsidRPr="00A22FDE">
        <w:rPr>
          <w:noProof/>
        </w:rPr>
        <w:t xml:space="preserve"> </w:t>
      </w:r>
    </w:p>
    <w:p w:rsidR="00642FCC" w:rsidRPr="00A22FDE" w:rsidRDefault="00642FCC" w:rsidP="00642FCC">
      <w:pPr>
        <w:spacing w:after="0" w:line="240" w:lineRule="auto"/>
      </w:pPr>
    </w:p>
    <w:p w:rsidR="00642FCC" w:rsidRPr="00A22FDE" w:rsidRDefault="00642FCC" w:rsidP="00642FCC">
      <w:pPr>
        <w:spacing w:after="0" w:line="240" w:lineRule="auto"/>
      </w:pPr>
      <w:r w:rsidRPr="00A22FDE">
        <w:t>[Physician Name]</w:t>
      </w:r>
    </w:p>
    <w:p w:rsidR="00642FCC" w:rsidRPr="00A22FDE" w:rsidRDefault="00642FCC" w:rsidP="00642FCC">
      <w:pPr>
        <w:spacing w:after="0" w:line="240" w:lineRule="auto"/>
      </w:pPr>
      <w:r w:rsidRPr="00A22FDE">
        <w:t>[Physician Address</w:t>
      </w:r>
    </w:p>
    <w:p w:rsidR="00642FCC" w:rsidRPr="00A22FDE" w:rsidRDefault="00642FCC" w:rsidP="00642FCC">
      <w:pPr>
        <w:spacing w:after="0" w:line="240" w:lineRule="auto"/>
      </w:pPr>
      <w:r w:rsidRPr="00A22FDE">
        <w:t>_______________]</w:t>
      </w:r>
    </w:p>
    <w:p w:rsidR="00642FCC" w:rsidRPr="00A22FDE" w:rsidRDefault="00642FCC" w:rsidP="00642FCC">
      <w:pPr>
        <w:spacing w:after="0" w:line="240" w:lineRule="auto"/>
      </w:pPr>
    </w:p>
    <w:p w:rsidR="00642FCC" w:rsidRPr="00A22FDE" w:rsidRDefault="00642FCC" w:rsidP="00642FCC">
      <w:pPr>
        <w:spacing w:after="0" w:line="240" w:lineRule="auto"/>
      </w:pPr>
      <w:r w:rsidRPr="00A22FDE">
        <w:t>RE:  Announcing an exciting new clinical trial for established Status Epilepticus</w:t>
      </w:r>
    </w:p>
    <w:p w:rsidR="00642FCC" w:rsidRPr="00A22FDE" w:rsidRDefault="00642FCC" w:rsidP="00642FCC">
      <w:pPr>
        <w:spacing w:after="0" w:line="240" w:lineRule="auto"/>
      </w:pPr>
    </w:p>
    <w:p w:rsidR="00642FCC" w:rsidRPr="00A22FDE" w:rsidRDefault="00642FCC" w:rsidP="00642FCC">
      <w:pPr>
        <w:spacing w:after="0" w:line="240" w:lineRule="auto"/>
      </w:pPr>
      <w:r w:rsidRPr="00A22FDE">
        <w:t>Dear Dr. [Physician Name],</w:t>
      </w:r>
    </w:p>
    <w:p w:rsidR="00642FCC" w:rsidRPr="00A22FDE" w:rsidRDefault="00642FCC" w:rsidP="00642FCC">
      <w:pPr>
        <w:spacing w:after="0" w:line="240" w:lineRule="auto"/>
      </w:pPr>
    </w:p>
    <w:p w:rsidR="00642FCC" w:rsidRPr="00A22FDE" w:rsidRDefault="00642FCC" w:rsidP="00642FCC">
      <w:pPr>
        <w:spacing w:after="0" w:line="240" w:lineRule="auto"/>
        <w:jc w:val="both"/>
      </w:pPr>
      <w:r w:rsidRPr="00A22FDE">
        <w:t xml:space="preserve">We are pleased to notify physicians </w:t>
      </w:r>
      <w:r w:rsidR="00A425B3" w:rsidRPr="00A425B3">
        <w:rPr>
          <w:b/>
          <w:highlight w:val="yellow"/>
        </w:rPr>
        <w:t xml:space="preserve">&lt;insert hospital, city, </w:t>
      </w:r>
      <w:proofErr w:type="spellStart"/>
      <w:r w:rsidR="00A425B3" w:rsidRPr="00A425B3">
        <w:rPr>
          <w:b/>
          <w:highlight w:val="yellow"/>
        </w:rPr>
        <w:t>etc</w:t>
      </w:r>
      <w:proofErr w:type="spellEnd"/>
      <w:r w:rsidR="00A425B3" w:rsidRPr="00A425B3">
        <w:rPr>
          <w:b/>
          <w:highlight w:val="yellow"/>
        </w:rPr>
        <w:t>&gt;</w:t>
      </w:r>
      <w:r w:rsidRPr="00A22FDE">
        <w:t xml:space="preserve"> of an exciting new clinical trial being conducted i</w:t>
      </w:r>
      <w:r w:rsidR="00A425B3">
        <w:t xml:space="preserve">n your area.  Physicians at </w:t>
      </w:r>
      <w:r w:rsidR="00A425B3" w:rsidRPr="00A425B3">
        <w:rPr>
          <w:b/>
          <w:highlight w:val="yellow"/>
        </w:rPr>
        <w:t>&lt;insert Enrollment hospital or institution&gt;</w:t>
      </w:r>
      <w:r w:rsidR="00A425B3">
        <w:t xml:space="preserve"> </w:t>
      </w:r>
      <w:r w:rsidRPr="00A22FDE">
        <w:t>are participating in a NIH-funded, multi</w:t>
      </w:r>
      <w:r w:rsidR="00A22FDE" w:rsidRPr="00A22FDE">
        <w:t>-center</w:t>
      </w:r>
      <w:r w:rsidRPr="00A22FDE">
        <w:t xml:space="preserve"> center clinical trial called</w:t>
      </w:r>
      <w:r w:rsidR="00B65799">
        <w:t xml:space="preserve"> The Established Status Epilepticus Treatment Trial (</w:t>
      </w:r>
      <w:r w:rsidRPr="00A22FDE">
        <w:t>ESETT</w:t>
      </w:r>
      <w:r w:rsidR="00B65799">
        <w:t>)</w:t>
      </w:r>
      <w:r w:rsidRPr="00A22FDE">
        <w:t>.  This study is designed to compare the effectiveness of three medications (</w:t>
      </w:r>
      <w:proofErr w:type="spellStart"/>
      <w:r w:rsidRPr="00A22FDE">
        <w:rPr>
          <w:color w:val="000000"/>
        </w:rPr>
        <w:t>fos</w:t>
      </w:r>
      <w:proofErr w:type="spellEnd"/>
      <w:r w:rsidRPr="00A22FDE">
        <w:rPr>
          <w:color w:val="000000"/>
        </w:rPr>
        <w:t>-phenytoin, levetiracetam, and valproic acid) in patients with status epilepticus who have failed benzodiazepines</w:t>
      </w:r>
      <w:r w:rsidRPr="00A22FDE">
        <w:t xml:space="preserve">.  </w:t>
      </w:r>
    </w:p>
    <w:p w:rsidR="00642FCC" w:rsidRPr="00A22FDE" w:rsidRDefault="00642FCC" w:rsidP="00642FCC">
      <w:pPr>
        <w:spacing w:after="0" w:line="240" w:lineRule="auto"/>
        <w:jc w:val="both"/>
      </w:pPr>
    </w:p>
    <w:p w:rsidR="00642FCC" w:rsidRPr="00A22FDE" w:rsidRDefault="00642FCC" w:rsidP="00642FCC">
      <w:pPr>
        <w:spacing w:after="120" w:line="240" w:lineRule="auto"/>
        <w:jc w:val="both"/>
      </w:pPr>
      <w:r w:rsidRPr="00A22FDE">
        <w:t>To be eligible for enrollment, patients must present at on</w:t>
      </w:r>
      <w:r w:rsidR="00615D29" w:rsidRPr="00A22FDE">
        <w:t>e of our participating hospital Emergency Departments (ED)</w:t>
      </w:r>
      <w:r w:rsidRPr="00A22FDE">
        <w:t xml:space="preserve"> and meet the following general enrollment criteria:</w:t>
      </w:r>
    </w:p>
    <w:p w:rsidR="00642FCC" w:rsidRPr="00A22FDE" w:rsidRDefault="00615D29" w:rsidP="00642FCC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</w:pPr>
      <w:r w:rsidRPr="00A22FDE">
        <w:rPr>
          <w:b/>
          <w:bCs/>
        </w:rPr>
        <w:t xml:space="preserve">Age </w:t>
      </w:r>
      <w:r w:rsidRPr="00A22FDE">
        <w:rPr>
          <w:b/>
          <w:bCs/>
          <w:u w:val="single"/>
        </w:rPr>
        <w:t xml:space="preserve">&gt; </w:t>
      </w:r>
      <w:r w:rsidRPr="00A22FDE">
        <w:rPr>
          <w:b/>
          <w:bCs/>
        </w:rPr>
        <w:t>2 years</w:t>
      </w:r>
    </w:p>
    <w:p w:rsidR="00615D29" w:rsidRPr="00A22FDE" w:rsidRDefault="00615D29" w:rsidP="00642FCC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A22FDE">
        <w:rPr>
          <w:b/>
          <w:bCs/>
        </w:rPr>
        <w:t>Witnessed clini</w:t>
      </w:r>
      <w:r w:rsidRPr="00A22FDE">
        <w:rPr>
          <w:rFonts w:asciiTheme="minorHAnsi" w:hAnsiTheme="minorHAnsi"/>
          <w:b/>
          <w:bCs/>
        </w:rPr>
        <w:t>cally apparent seizure in the ED</w:t>
      </w:r>
    </w:p>
    <w:p w:rsidR="00642FCC" w:rsidRPr="00A22FDE" w:rsidRDefault="00615D29" w:rsidP="00642FCC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</w:rPr>
      </w:pPr>
      <w:r w:rsidRPr="00A22FDE">
        <w:rPr>
          <w:rFonts w:asciiTheme="minorHAnsi" w:hAnsiTheme="minorHAnsi"/>
          <w:b/>
        </w:rPr>
        <w:t>Received at least an adequate dose of benzodiazepines for generalized, tonic-</w:t>
      </w:r>
      <w:proofErr w:type="spellStart"/>
      <w:r w:rsidRPr="00A22FDE">
        <w:rPr>
          <w:rFonts w:asciiTheme="minorHAnsi" w:hAnsiTheme="minorHAnsi"/>
          <w:b/>
        </w:rPr>
        <w:t>clonic</w:t>
      </w:r>
      <w:proofErr w:type="spellEnd"/>
      <w:r w:rsidRPr="00A22FDE">
        <w:rPr>
          <w:rFonts w:asciiTheme="minorHAnsi" w:hAnsiTheme="minorHAnsi"/>
          <w:b/>
        </w:rPr>
        <w:t xml:space="preserve"> convulsions within 5-30 minutes prior to enrollment</w:t>
      </w:r>
    </w:p>
    <w:p w:rsidR="00615D29" w:rsidRPr="00A22FDE" w:rsidRDefault="00642FCC" w:rsidP="00D679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A22FDE">
        <w:rPr>
          <w:rFonts w:asciiTheme="minorHAnsi" w:hAnsiTheme="minorHAnsi"/>
        </w:rPr>
        <w:t>If eligible, patients will be randomly assigned to one of the three</w:t>
      </w:r>
      <w:r w:rsidR="00C43CA4">
        <w:rPr>
          <w:rFonts w:asciiTheme="minorHAnsi" w:hAnsiTheme="minorHAnsi"/>
        </w:rPr>
        <w:t xml:space="preserve"> study</w:t>
      </w:r>
      <w:r w:rsidRPr="00A22FDE">
        <w:rPr>
          <w:rFonts w:asciiTheme="minorHAnsi" w:hAnsiTheme="minorHAnsi"/>
        </w:rPr>
        <w:t xml:space="preserve"> treatment arms.  Because established status epilepticus requires immediate treatment, it will not be possible to obtain informed consent from patients before they are enrolled.  Eligible patients </w:t>
      </w:r>
      <w:r w:rsidR="00615D29" w:rsidRPr="00A22FDE">
        <w:rPr>
          <w:rFonts w:asciiTheme="minorHAnsi" w:hAnsiTheme="minorHAnsi"/>
        </w:rPr>
        <w:t>at participating EDs</w:t>
      </w:r>
      <w:r w:rsidRPr="00A22FDE">
        <w:rPr>
          <w:rFonts w:asciiTheme="minorHAnsi" w:hAnsiTheme="minorHAnsi"/>
        </w:rPr>
        <w:t xml:space="preserve"> will be automatically enrolled into this trial under the </w:t>
      </w:r>
      <w:r w:rsidR="00615D29" w:rsidRPr="00A22FDE">
        <w:rPr>
          <w:rFonts w:asciiTheme="minorHAnsi" w:hAnsiTheme="minorHAnsi"/>
        </w:rPr>
        <w:t>U.S. Food and Drug Administration’s exception from informed c</w:t>
      </w:r>
      <w:r w:rsidRPr="00A22FDE">
        <w:rPr>
          <w:rFonts w:asciiTheme="minorHAnsi" w:hAnsiTheme="minorHAnsi"/>
        </w:rPr>
        <w:t>onsent</w:t>
      </w:r>
      <w:r w:rsidR="00615D29" w:rsidRPr="00A22FDE">
        <w:rPr>
          <w:rFonts w:asciiTheme="minorHAnsi" w:hAnsiTheme="minorHAnsi"/>
        </w:rPr>
        <w:t xml:space="preserve"> </w:t>
      </w:r>
      <w:r w:rsidR="00A22FDE" w:rsidRPr="00A22FDE">
        <w:rPr>
          <w:rFonts w:asciiTheme="minorHAnsi" w:hAnsiTheme="minorHAnsi"/>
        </w:rPr>
        <w:t xml:space="preserve">(EFIC) </w:t>
      </w:r>
      <w:r w:rsidR="00615D29" w:rsidRPr="00A22FDE">
        <w:rPr>
          <w:rFonts w:asciiTheme="minorHAnsi" w:hAnsiTheme="minorHAnsi"/>
        </w:rPr>
        <w:t xml:space="preserve">requirements for emergency research (21 CFR 50.24).  </w:t>
      </w:r>
      <w:r w:rsidR="00615D29" w:rsidRPr="00A22FDE">
        <w:rPr>
          <w:rFonts w:asciiTheme="minorHAnsi" w:hAnsiTheme="minorHAnsi" w:cs="Arial"/>
        </w:rPr>
        <w:t xml:space="preserve">These special rules allow research studies in certain emergency situations to be conducted without consent. </w:t>
      </w:r>
      <w:r w:rsidR="00A22FDE" w:rsidRPr="00A22FDE">
        <w:rPr>
          <w:rFonts w:asciiTheme="minorHAnsi" w:hAnsiTheme="minorHAnsi" w:cs="Arial"/>
        </w:rPr>
        <w:t xml:space="preserve"> </w:t>
      </w:r>
      <w:r w:rsidR="00615D29" w:rsidRPr="00A22FDE">
        <w:rPr>
          <w:rFonts w:asciiTheme="minorHAnsi" w:hAnsiTheme="minorHAnsi" w:cs="Arial"/>
        </w:rPr>
        <w:t xml:space="preserve">EFIC can only be used </w:t>
      </w:r>
      <w:r w:rsidR="00A22FDE" w:rsidRPr="00A22FDE">
        <w:rPr>
          <w:rFonts w:asciiTheme="minorHAnsi" w:hAnsiTheme="minorHAnsi" w:cs="Arial"/>
        </w:rPr>
        <w:t>when t</w:t>
      </w:r>
      <w:r w:rsidR="00615D29" w:rsidRPr="00A22FDE">
        <w:rPr>
          <w:rFonts w:asciiTheme="minorHAnsi" w:hAnsiTheme="minorHAnsi" w:cs="Arial"/>
        </w:rPr>
        <w:t xml:space="preserve">he person’s life is at risk, </w:t>
      </w:r>
      <w:r w:rsidR="00A22FDE" w:rsidRPr="00A22FDE">
        <w:rPr>
          <w:rFonts w:asciiTheme="minorHAnsi" w:hAnsiTheme="minorHAnsi" w:cs="Arial"/>
        </w:rPr>
        <w:t>t</w:t>
      </w:r>
      <w:r w:rsidR="00615D29" w:rsidRPr="00A22FDE">
        <w:rPr>
          <w:rFonts w:asciiTheme="minorHAnsi" w:hAnsiTheme="minorHAnsi" w:cs="Arial"/>
        </w:rPr>
        <w:t xml:space="preserve">he best treatment is not known, </w:t>
      </w:r>
      <w:r w:rsidR="00A22FDE" w:rsidRPr="00A22FDE">
        <w:rPr>
          <w:rFonts w:asciiTheme="minorHAnsi" w:hAnsiTheme="minorHAnsi" w:cs="Arial"/>
        </w:rPr>
        <w:t>t</w:t>
      </w:r>
      <w:r w:rsidR="00615D29" w:rsidRPr="00A22FDE">
        <w:rPr>
          <w:rFonts w:asciiTheme="minorHAnsi" w:hAnsiTheme="minorHAnsi" w:cs="Arial"/>
        </w:rPr>
        <w:t>he study might help the person,</w:t>
      </w:r>
      <w:r w:rsidR="00A22FDE" w:rsidRPr="00A22FDE">
        <w:rPr>
          <w:rFonts w:asciiTheme="minorHAnsi" w:hAnsiTheme="minorHAnsi" w:cs="Arial"/>
        </w:rPr>
        <w:t xml:space="preserve"> and it is not possible to obtain informed consent from the patient or a legally authorized representative.</w:t>
      </w:r>
      <w:r w:rsidR="00A22FDE" w:rsidRPr="00A22FDE">
        <w:rPr>
          <w:rFonts w:asciiTheme="minorHAnsi" w:hAnsiTheme="minorHAnsi"/>
        </w:rPr>
        <w:t xml:space="preserve">  </w:t>
      </w:r>
    </w:p>
    <w:p w:rsidR="00615D29" w:rsidRPr="00A22FDE" w:rsidRDefault="00615D29" w:rsidP="00D679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642FCC" w:rsidRPr="00A22FDE" w:rsidRDefault="00642FCC" w:rsidP="00D6794F">
      <w:pPr>
        <w:autoSpaceDE w:val="0"/>
        <w:autoSpaceDN w:val="0"/>
        <w:adjustRightInd w:val="0"/>
        <w:spacing w:after="0" w:line="240" w:lineRule="auto"/>
        <w:jc w:val="both"/>
      </w:pPr>
      <w:r w:rsidRPr="00A22FDE">
        <w:t>Everyone in the study will be given standard care</w:t>
      </w:r>
      <w:r w:rsidR="00A22FDE" w:rsidRPr="00A22FDE">
        <w:t xml:space="preserve"> </w:t>
      </w:r>
      <w:r w:rsidR="00D6794F">
        <w:t xml:space="preserve">in addition to </w:t>
      </w:r>
      <w:r w:rsidR="00A22FDE" w:rsidRPr="00A22FDE">
        <w:t xml:space="preserve">the study treatment (a 10-minute infusion of </w:t>
      </w:r>
      <w:proofErr w:type="spellStart"/>
      <w:r w:rsidR="00A22FDE" w:rsidRPr="00A22FDE">
        <w:rPr>
          <w:color w:val="000000"/>
        </w:rPr>
        <w:t>fos</w:t>
      </w:r>
      <w:proofErr w:type="spellEnd"/>
      <w:r w:rsidR="00A22FDE" w:rsidRPr="00A22FDE">
        <w:rPr>
          <w:color w:val="000000"/>
        </w:rPr>
        <w:t>-phenytoin, levetiracetam, or valproic acid)</w:t>
      </w:r>
      <w:r w:rsidRPr="00A22FDE">
        <w:t xml:space="preserve">.  Study patients will be followed closely by study personnel </w:t>
      </w:r>
      <w:r w:rsidR="00A22FDE" w:rsidRPr="00A22FDE">
        <w:t>through 30 days or discharge from the hospital, whichever comes first</w:t>
      </w:r>
      <w:r w:rsidRPr="00A22FDE">
        <w:t xml:space="preserve">.  </w:t>
      </w:r>
    </w:p>
    <w:p w:rsidR="00642FCC" w:rsidRPr="00A22FDE" w:rsidRDefault="00642FCC" w:rsidP="00D6794F">
      <w:pPr>
        <w:autoSpaceDE w:val="0"/>
        <w:autoSpaceDN w:val="0"/>
        <w:adjustRightInd w:val="0"/>
        <w:spacing w:after="0" w:line="240" w:lineRule="auto"/>
        <w:jc w:val="both"/>
      </w:pPr>
    </w:p>
    <w:p w:rsidR="00642FCC" w:rsidRPr="00A22FDE" w:rsidRDefault="00C43CA4" w:rsidP="00D6794F">
      <w:pPr>
        <w:autoSpaceDE w:val="0"/>
        <w:autoSpaceDN w:val="0"/>
        <w:adjustRightInd w:val="0"/>
        <w:spacing w:after="0" w:line="240" w:lineRule="auto"/>
        <w:jc w:val="both"/>
      </w:pPr>
      <w:r>
        <w:t>As you may know, status epilepticus</w:t>
      </w:r>
      <w:r w:rsidR="00642FCC" w:rsidRPr="00A22FDE">
        <w:t xml:space="preserve"> is </w:t>
      </w:r>
      <w:r>
        <w:t>associated with significant morbidity, including cognitive defects and neurological injury, and a mortality rate estimated at 17%.  I</w:t>
      </w:r>
      <w:r w:rsidR="00642FCC" w:rsidRPr="00A22FDE">
        <w:t xml:space="preserve">t is exciting to think that this study may </w:t>
      </w:r>
      <w:r>
        <w:t>help physicians treat status epilepticus in the future and improve the care of patients with status epilepticus.</w:t>
      </w:r>
      <w:r w:rsidR="00642FCC" w:rsidRPr="00A22FDE">
        <w:t xml:space="preserve">  </w:t>
      </w:r>
    </w:p>
    <w:p w:rsidR="00642FCC" w:rsidRPr="00A22FDE" w:rsidRDefault="00642FCC" w:rsidP="00D6794F">
      <w:pPr>
        <w:autoSpaceDE w:val="0"/>
        <w:autoSpaceDN w:val="0"/>
        <w:adjustRightInd w:val="0"/>
        <w:spacing w:after="0" w:line="240" w:lineRule="auto"/>
        <w:jc w:val="both"/>
      </w:pPr>
    </w:p>
    <w:p w:rsidR="00642FCC" w:rsidRPr="00A22FDE" w:rsidRDefault="00642FCC" w:rsidP="00D6794F">
      <w:pPr>
        <w:autoSpaceDE w:val="0"/>
        <w:autoSpaceDN w:val="0"/>
        <w:adjustRightInd w:val="0"/>
        <w:spacing w:after="0" w:line="240" w:lineRule="auto"/>
        <w:jc w:val="both"/>
      </w:pPr>
      <w:r w:rsidRPr="00A22FDE">
        <w:t xml:space="preserve">If you would like to read more about this study, please visit the national website at </w:t>
      </w:r>
      <w:hyperlink r:id="rId9" w:history="1">
        <w:r w:rsidR="00615D29" w:rsidRPr="00A22FDE">
          <w:rPr>
            <w:rStyle w:val="Hyperlink"/>
            <w:rFonts w:cs="Calibri"/>
          </w:rPr>
          <w:t>www.esett.org</w:t>
        </w:r>
      </w:hyperlink>
      <w:r w:rsidRPr="00A22FDE">
        <w:t xml:space="preserve">, or contact our local study team at </w:t>
      </w:r>
      <w:r w:rsidR="00A425B3" w:rsidRPr="00A425B3">
        <w:rPr>
          <w:b/>
          <w:highlight w:val="yellow"/>
        </w:rPr>
        <w:t>xxx-xxx-</w:t>
      </w:r>
      <w:proofErr w:type="spellStart"/>
      <w:r w:rsidR="00A425B3" w:rsidRPr="00A425B3">
        <w:rPr>
          <w:b/>
          <w:highlight w:val="yellow"/>
        </w:rPr>
        <w:t>xxxx</w:t>
      </w:r>
      <w:proofErr w:type="spellEnd"/>
      <w:r w:rsidRPr="00A22FDE">
        <w:t>.</w:t>
      </w:r>
    </w:p>
    <w:p w:rsidR="00642FCC" w:rsidRPr="00A22FDE" w:rsidRDefault="00642FCC" w:rsidP="00D6794F">
      <w:pPr>
        <w:autoSpaceDE w:val="0"/>
        <w:autoSpaceDN w:val="0"/>
        <w:adjustRightInd w:val="0"/>
        <w:spacing w:after="0" w:line="240" w:lineRule="auto"/>
        <w:jc w:val="both"/>
      </w:pPr>
    </w:p>
    <w:p w:rsidR="00C43CA4" w:rsidRDefault="00642FCC" w:rsidP="00D6794F">
      <w:pPr>
        <w:spacing w:after="0" w:line="240" w:lineRule="auto"/>
      </w:pPr>
      <w:r w:rsidRPr="00A22FDE">
        <w:t>Sincerely,</w:t>
      </w:r>
    </w:p>
    <w:p w:rsidR="00C43CA4" w:rsidRDefault="00C43CA4" w:rsidP="00D6794F">
      <w:pPr>
        <w:spacing w:after="0" w:line="240" w:lineRule="auto"/>
      </w:pPr>
    </w:p>
    <w:p w:rsidR="00D6794F" w:rsidRPr="00A425B3" w:rsidRDefault="00A425B3" w:rsidP="00D6794F">
      <w:pPr>
        <w:spacing w:after="0" w:line="240" w:lineRule="auto"/>
        <w:rPr>
          <w:highlight w:val="yellow"/>
        </w:rPr>
      </w:pPr>
      <w:r w:rsidRPr="00A425B3">
        <w:rPr>
          <w:highlight w:val="yellow"/>
        </w:rPr>
        <w:t>&lt;Site PI Name&gt;</w:t>
      </w:r>
    </w:p>
    <w:p w:rsidR="00D6794F" w:rsidRPr="00A425B3" w:rsidRDefault="00A425B3" w:rsidP="00D6794F">
      <w:pPr>
        <w:spacing w:after="0" w:line="240" w:lineRule="auto"/>
        <w:rPr>
          <w:highlight w:val="yellow"/>
        </w:rPr>
      </w:pPr>
      <w:r w:rsidRPr="00A425B3">
        <w:rPr>
          <w:highlight w:val="yellow"/>
        </w:rPr>
        <w:t>&lt;Site PI study role&gt;</w:t>
      </w:r>
    </w:p>
    <w:p w:rsidR="00D6794F" w:rsidRDefault="00A425B3" w:rsidP="00D6794F">
      <w:pPr>
        <w:spacing w:after="0" w:line="240" w:lineRule="auto"/>
      </w:pPr>
      <w:r w:rsidRPr="00A425B3">
        <w:rPr>
          <w:highlight w:val="yellow"/>
        </w:rPr>
        <w:t>&lt;Enrollment site&gt;</w:t>
      </w:r>
      <w:bookmarkStart w:id="0" w:name="_GoBack"/>
      <w:bookmarkEnd w:id="0"/>
    </w:p>
    <w:sectPr w:rsidR="00D6794F" w:rsidSect="00D6794F">
      <w:headerReference w:type="default" r:id="rId10"/>
      <w:pgSz w:w="12240" w:h="15840"/>
      <w:pgMar w:top="720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90" w:rsidRDefault="00A17390" w:rsidP="00642FCC">
      <w:pPr>
        <w:spacing w:after="0" w:line="240" w:lineRule="auto"/>
      </w:pPr>
      <w:r>
        <w:separator/>
      </w:r>
    </w:p>
  </w:endnote>
  <w:endnote w:type="continuationSeparator" w:id="0">
    <w:p w:rsidR="00A17390" w:rsidRDefault="00A17390" w:rsidP="0064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90" w:rsidRDefault="00A17390" w:rsidP="00642FCC">
      <w:pPr>
        <w:spacing w:after="0" w:line="240" w:lineRule="auto"/>
      </w:pPr>
      <w:r>
        <w:separator/>
      </w:r>
    </w:p>
  </w:footnote>
  <w:footnote w:type="continuationSeparator" w:id="0">
    <w:p w:rsidR="00A17390" w:rsidRDefault="00A17390" w:rsidP="0064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CC" w:rsidRDefault="00642FCC">
    <w:pPr>
      <w:pStyle w:val="Header"/>
    </w:pPr>
  </w:p>
  <w:p w:rsidR="00642FCC" w:rsidRDefault="00642FCC" w:rsidP="00642F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6E0"/>
    <w:multiLevelType w:val="hybridMultilevel"/>
    <w:tmpl w:val="DECE45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2C3F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BD0734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89D88DE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BB0243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8A8E58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97AE619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A82F5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F361C3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73E2543"/>
    <w:multiLevelType w:val="hybridMultilevel"/>
    <w:tmpl w:val="8D02F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762BCB"/>
    <w:multiLevelType w:val="hybridMultilevel"/>
    <w:tmpl w:val="6F269F9A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74774D12"/>
    <w:multiLevelType w:val="hybridMultilevel"/>
    <w:tmpl w:val="E0D634BC"/>
    <w:lvl w:ilvl="0" w:tplc="3EF6F3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CC"/>
    <w:rsid w:val="001A5A98"/>
    <w:rsid w:val="003D5F99"/>
    <w:rsid w:val="00436BF3"/>
    <w:rsid w:val="00615D29"/>
    <w:rsid w:val="00642FCC"/>
    <w:rsid w:val="00A17390"/>
    <w:rsid w:val="00A22FDE"/>
    <w:rsid w:val="00A425B3"/>
    <w:rsid w:val="00B65799"/>
    <w:rsid w:val="00C43CA4"/>
    <w:rsid w:val="00C66C0A"/>
    <w:rsid w:val="00D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CC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2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4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CC"/>
  </w:style>
  <w:style w:type="paragraph" w:styleId="Footer">
    <w:name w:val="footer"/>
    <w:basedOn w:val="Normal"/>
    <w:link w:val="FooterChar"/>
    <w:uiPriority w:val="99"/>
    <w:unhideWhenUsed/>
    <w:rsid w:val="0064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CC"/>
  </w:style>
  <w:style w:type="character" w:styleId="Hyperlink">
    <w:name w:val="Hyperlink"/>
    <w:basedOn w:val="DefaultParagraphFont"/>
    <w:uiPriority w:val="99"/>
    <w:rsid w:val="00642F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5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CC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2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4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CC"/>
  </w:style>
  <w:style w:type="paragraph" w:styleId="Footer">
    <w:name w:val="footer"/>
    <w:basedOn w:val="Normal"/>
    <w:link w:val="FooterChar"/>
    <w:uiPriority w:val="99"/>
    <w:unhideWhenUsed/>
    <w:rsid w:val="0064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CC"/>
  </w:style>
  <w:style w:type="character" w:styleId="Hyperlink">
    <w:name w:val="Hyperlink"/>
    <w:basedOn w:val="DefaultParagraphFont"/>
    <w:uiPriority w:val="99"/>
    <w:rsid w:val="00642F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et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Deneil Harney</cp:lastModifiedBy>
  <cp:revision>2</cp:revision>
  <dcterms:created xsi:type="dcterms:W3CDTF">2015-01-22T01:33:00Z</dcterms:created>
  <dcterms:modified xsi:type="dcterms:W3CDTF">2015-01-22T01:33:00Z</dcterms:modified>
</cp:coreProperties>
</file>