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38"/>
        <w:gridCol w:w="7938"/>
      </w:tblGrid>
      <w:tr w:rsidR="004A24FB" w:rsidTr="004A24FB">
        <w:tc>
          <w:tcPr>
            <w:tcW w:w="9576" w:type="dxa"/>
            <w:gridSpan w:val="2"/>
            <w:shd w:val="clear" w:color="auto" w:fill="D9D9D9" w:themeFill="background1" w:themeFillShade="D9"/>
          </w:tcPr>
          <w:p w:rsidR="004A24FB" w:rsidRPr="004A24FB" w:rsidRDefault="004A24FB" w:rsidP="004A24FB">
            <w:pPr>
              <w:jc w:val="center"/>
              <w:rPr>
                <w:b/>
              </w:rPr>
            </w:pPr>
            <w:r>
              <w:rPr>
                <w:b/>
              </w:rPr>
              <w:t>Social Work Guide to ESETT</w:t>
            </w:r>
          </w:p>
        </w:tc>
      </w:tr>
      <w:tr w:rsidR="004A24FB" w:rsidTr="004A24FB">
        <w:tc>
          <w:tcPr>
            <w:tcW w:w="1638" w:type="dxa"/>
            <w:shd w:val="clear" w:color="auto" w:fill="D9D9D9" w:themeFill="background1" w:themeFillShade="D9"/>
          </w:tcPr>
          <w:p w:rsidR="004A24FB" w:rsidRPr="00F8354F" w:rsidRDefault="008C4EFD">
            <w:pPr>
              <w:rPr>
                <w:b/>
              </w:rPr>
            </w:pPr>
            <w:r>
              <w:rPr>
                <w:b/>
              </w:rPr>
              <w:t>RC Contact Information</w:t>
            </w:r>
          </w:p>
        </w:tc>
        <w:tc>
          <w:tcPr>
            <w:tcW w:w="7938" w:type="dxa"/>
          </w:tcPr>
          <w:p w:rsidR="008C4EFD" w:rsidRDefault="008C4EFD">
            <w:r>
              <w:t>Office phone: 734-936-7715</w:t>
            </w:r>
          </w:p>
          <w:p w:rsidR="008C4EFD" w:rsidRDefault="008C4EFD">
            <w:r>
              <w:t>Pager: 33394</w:t>
            </w:r>
          </w:p>
          <w:p w:rsidR="008C4EFD" w:rsidRDefault="008C4EFD" w:rsidP="008C4EFD">
            <w:r>
              <w:t>On-Call: 781-763-7388 (Please leave name and number)</w:t>
            </w:r>
          </w:p>
          <w:p w:rsidR="00F8354F" w:rsidRDefault="00F8354F" w:rsidP="008C4EFD">
            <w:r>
              <w:t>www.esett.org</w:t>
            </w:r>
          </w:p>
        </w:tc>
      </w:tr>
      <w:tr w:rsidR="004A24FB" w:rsidTr="004A24FB">
        <w:tc>
          <w:tcPr>
            <w:tcW w:w="1638" w:type="dxa"/>
            <w:shd w:val="clear" w:color="auto" w:fill="D9D9D9" w:themeFill="background1" w:themeFillShade="D9"/>
          </w:tcPr>
          <w:p w:rsidR="004A24FB" w:rsidRPr="00A72A3E" w:rsidRDefault="00F8354F">
            <w:pPr>
              <w:rPr>
                <w:b/>
              </w:rPr>
            </w:pPr>
            <w:r w:rsidRPr="00A72A3E">
              <w:rPr>
                <w:b/>
              </w:rPr>
              <w:t>Study Purpose</w:t>
            </w:r>
          </w:p>
        </w:tc>
        <w:tc>
          <w:tcPr>
            <w:tcW w:w="7938" w:type="dxa"/>
          </w:tcPr>
          <w:p w:rsidR="00F8354F" w:rsidRPr="00033BA8" w:rsidRDefault="00F8354F" w:rsidP="00F8354F">
            <w:pPr>
              <w:widowControl w:val="0"/>
              <w:spacing w:after="240"/>
              <w:rPr>
                <w:rFonts w:eastAsia="Calibri"/>
                <w:color w:val="000000"/>
                <w:sz w:val="22"/>
              </w:rPr>
            </w:pPr>
            <w:r w:rsidRPr="00033BA8">
              <w:rPr>
                <w:rFonts w:eastAsia="Calibri"/>
                <w:color w:val="000000"/>
                <w:sz w:val="22"/>
              </w:rPr>
              <w:t>Most seizures either stop on their own without treatment or stop with initial emergency treatments (medications such as V</w:t>
            </w:r>
            <w:r w:rsidR="00A72A3E">
              <w:rPr>
                <w:rFonts w:eastAsia="Calibri"/>
                <w:color w:val="000000"/>
                <w:sz w:val="22"/>
              </w:rPr>
              <w:t xml:space="preserve">alium). </w:t>
            </w:r>
            <w:r w:rsidRPr="00033BA8">
              <w:rPr>
                <w:rFonts w:eastAsia="Calibri"/>
                <w:color w:val="000000"/>
                <w:sz w:val="22"/>
              </w:rPr>
              <w:t xml:space="preserve">Seizures that persist </w:t>
            </w:r>
            <w:r>
              <w:rPr>
                <w:rFonts w:eastAsia="Calibri"/>
                <w:color w:val="000000"/>
                <w:sz w:val="22"/>
              </w:rPr>
              <w:t xml:space="preserve">even with initial medications </w:t>
            </w:r>
            <w:r w:rsidRPr="00033BA8">
              <w:rPr>
                <w:rFonts w:eastAsia="Calibri"/>
                <w:color w:val="000000"/>
                <w:sz w:val="22"/>
              </w:rPr>
              <w:t xml:space="preserve">are more dangerous. The purpose of this study is to find out which of three commonly used medicines is most effective in patients who have seizures that continue despite initial emergency treatments. </w:t>
            </w:r>
          </w:p>
          <w:p w:rsidR="00F8354F" w:rsidRPr="00033BA8" w:rsidRDefault="00F8354F" w:rsidP="00F8354F">
            <w:pPr>
              <w:widowControl w:val="0"/>
              <w:spacing w:after="240"/>
              <w:rPr>
                <w:rFonts w:eastAsia="Calibri"/>
                <w:color w:val="000000"/>
                <w:sz w:val="22"/>
              </w:rPr>
            </w:pPr>
            <w:r w:rsidRPr="00033BA8">
              <w:rPr>
                <w:rFonts w:eastAsia="Calibri"/>
                <w:color w:val="000000"/>
                <w:sz w:val="22"/>
              </w:rPr>
              <w:t xml:space="preserve">The three medicines are </w:t>
            </w:r>
            <w:proofErr w:type="spellStart"/>
            <w:r w:rsidRPr="00033BA8">
              <w:rPr>
                <w:rFonts w:eastAsia="Calibri"/>
                <w:color w:val="000000"/>
                <w:sz w:val="22"/>
              </w:rPr>
              <w:t>fosphenytoin</w:t>
            </w:r>
            <w:proofErr w:type="spellEnd"/>
            <w:r w:rsidRPr="00033BA8">
              <w:rPr>
                <w:rFonts w:eastAsia="Calibri"/>
                <w:color w:val="000000"/>
                <w:sz w:val="22"/>
              </w:rPr>
              <w:t xml:space="preserve"> (also called </w:t>
            </w:r>
            <w:proofErr w:type="spellStart"/>
            <w:r w:rsidRPr="00033BA8">
              <w:rPr>
                <w:rFonts w:eastAsia="Calibri"/>
                <w:color w:val="000000"/>
                <w:sz w:val="22"/>
              </w:rPr>
              <w:t>Cerebyx</w:t>
            </w:r>
            <w:proofErr w:type="spellEnd"/>
            <w:r w:rsidRPr="00033BA8">
              <w:rPr>
                <w:rFonts w:eastAsia="Calibri"/>
                <w:color w:val="000000"/>
                <w:sz w:val="22"/>
              </w:rPr>
              <w:t xml:space="preserve">, similar to Dilantin), </w:t>
            </w:r>
            <w:proofErr w:type="spellStart"/>
            <w:r w:rsidRPr="00033BA8">
              <w:rPr>
                <w:rFonts w:eastAsia="Calibri"/>
                <w:color w:val="000000"/>
                <w:sz w:val="22"/>
              </w:rPr>
              <w:t>levetiracetam</w:t>
            </w:r>
            <w:proofErr w:type="spellEnd"/>
            <w:r w:rsidRPr="00033BA8">
              <w:rPr>
                <w:rFonts w:eastAsia="Calibri"/>
                <w:color w:val="000000"/>
                <w:sz w:val="22"/>
              </w:rPr>
              <w:t xml:space="preserve"> (also called </w:t>
            </w:r>
            <w:proofErr w:type="spellStart"/>
            <w:r w:rsidRPr="00033BA8">
              <w:rPr>
                <w:rFonts w:eastAsia="Calibri"/>
                <w:color w:val="000000"/>
                <w:sz w:val="22"/>
              </w:rPr>
              <w:t>Keppra</w:t>
            </w:r>
            <w:proofErr w:type="spellEnd"/>
            <w:r w:rsidRPr="00033BA8">
              <w:rPr>
                <w:rFonts w:eastAsia="Calibri"/>
                <w:color w:val="000000"/>
                <w:sz w:val="22"/>
              </w:rPr>
              <w:t xml:space="preserve">) and </w:t>
            </w:r>
            <w:proofErr w:type="spellStart"/>
            <w:r w:rsidRPr="00033BA8">
              <w:rPr>
                <w:rFonts w:eastAsia="Calibri"/>
                <w:color w:val="000000"/>
                <w:sz w:val="22"/>
              </w:rPr>
              <w:t>valproic</w:t>
            </w:r>
            <w:proofErr w:type="spellEnd"/>
            <w:r w:rsidRPr="00033BA8">
              <w:rPr>
                <w:rFonts w:eastAsia="Calibri"/>
                <w:color w:val="000000"/>
                <w:sz w:val="22"/>
              </w:rPr>
              <w:t xml:space="preserve"> acid (also called </w:t>
            </w:r>
            <w:proofErr w:type="spellStart"/>
            <w:r w:rsidRPr="00033BA8">
              <w:rPr>
                <w:rFonts w:eastAsia="Calibri"/>
                <w:color w:val="000000"/>
                <w:sz w:val="22"/>
              </w:rPr>
              <w:t>Depacon</w:t>
            </w:r>
            <w:proofErr w:type="spellEnd"/>
            <w:r w:rsidRPr="00033BA8">
              <w:rPr>
                <w:rFonts w:eastAsia="Calibri"/>
                <w:color w:val="000000"/>
                <w:sz w:val="22"/>
              </w:rPr>
              <w:t xml:space="preserve"> or Depakote). </w:t>
            </w:r>
          </w:p>
          <w:p w:rsidR="004A24FB" w:rsidRDefault="00F8354F" w:rsidP="00A72A3E">
            <w:r w:rsidRPr="00033BA8">
              <w:rPr>
                <w:rFonts w:eastAsia="Calibri"/>
                <w:color w:val="000000"/>
                <w:sz w:val="22"/>
              </w:rPr>
              <w:t>All</w:t>
            </w:r>
            <w:r>
              <w:rPr>
                <w:rFonts w:eastAsia="Calibri"/>
                <w:color w:val="000000"/>
                <w:sz w:val="22"/>
              </w:rPr>
              <w:t xml:space="preserve"> three medications are regularly used by doctors </w:t>
            </w:r>
            <w:r w:rsidR="00A72A3E">
              <w:rPr>
                <w:rFonts w:eastAsia="Calibri"/>
                <w:color w:val="000000"/>
                <w:sz w:val="22"/>
              </w:rPr>
              <w:t xml:space="preserve">currently </w:t>
            </w:r>
            <w:r>
              <w:rPr>
                <w:rFonts w:eastAsia="Calibri"/>
                <w:color w:val="000000"/>
                <w:sz w:val="22"/>
              </w:rPr>
              <w:t xml:space="preserve">to treat this type of severe seizures but </w:t>
            </w:r>
            <w:r w:rsidR="00A72A3E">
              <w:rPr>
                <w:rFonts w:eastAsia="Calibri"/>
                <w:color w:val="000000"/>
                <w:sz w:val="22"/>
              </w:rPr>
              <w:t>doctors</w:t>
            </w:r>
            <w:r>
              <w:rPr>
                <w:rFonts w:eastAsia="Calibri"/>
                <w:color w:val="000000"/>
                <w:sz w:val="22"/>
              </w:rPr>
              <w:t xml:space="preserve"> do not know which one works the best.</w:t>
            </w:r>
            <w:r w:rsidR="00A72A3E">
              <w:rPr>
                <w:rFonts w:eastAsia="Calibri"/>
                <w:color w:val="000000"/>
                <w:sz w:val="22"/>
              </w:rPr>
              <w:t xml:space="preserve"> This is the purpose of this study, doctors usually choose one of the three drugs based on their own experience – this study also randomly chooses on of the three drugs to give. No</w:t>
            </w:r>
            <w:r w:rsidR="00AF4857">
              <w:rPr>
                <w:rFonts w:eastAsia="Calibri"/>
                <w:color w:val="000000"/>
                <w:sz w:val="22"/>
              </w:rPr>
              <w:t xml:space="preserve"> other</w:t>
            </w:r>
            <w:r w:rsidR="00A72A3E">
              <w:rPr>
                <w:rFonts w:eastAsia="Calibri"/>
                <w:color w:val="000000"/>
                <w:sz w:val="22"/>
              </w:rPr>
              <w:t xml:space="preserve"> aspect of routine care was affected by enrollment in the study.</w:t>
            </w:r>
            <w:r w:rsidRPr="00033BA8">
              <w:rPr>
                <w:rFonts w:eastAsia="Calibri"/>
                <w:color w:val="000000"/>
                <w:sz w:val="22"/>
              </w:rPr>
              <w:t xml:space="preserve"> </w:t>
            </w:r>
          </w:p>
        </w:tc>
      </w:tr>
      <w:tr w:rsidR="004A24FB" w:rsidTr="004A24FB">
        <w:tc>
          <w:tcPr>
            <w:tcW w:w="1638" w:type="dxa"/>
            <w:shd w:val="clear" w:color="auto" w:fill="D9D9D9" w:themeFill="background1" w:themeFillShade="D9"/>
          </w:tcPr>
          <w:p w:rsidR="004A24FB" w:rsidRPr="00A72A3E" w:rsidRDefault="00A72A3E">
            <w:pPr>
              <w:rPr>
                <w:b/>
              </w:rPr>
            </w:pPr>
            <w:r w:rsidRPr="00A72A3E">
              <w:rPr>
                <w:b/>
              </w:rPr>
              <w:t>Study Participation</w:t>
            </w:r>
          </w:p>
        </w:tc>
        <w:tc>
          <w:tcPr>
            <w:tcW w:w="7938" w:type="dxa"/>
          </w:tcPr>
          <w:p w:rsidR="004A24FB" w:rsidRDefault="00A72A3E">
            <w:r>
              <w:t>Someone from the research team will be here shortly to explain more in detail.</w:t>
            </w:r>
            <w:r w:rsidR="00AF4857">
              <w:t xml:space="preserve"> Continued study p</w:t>
            </w:r>
            <w:bookmarkStart w:id="0" w:name="_GoBack"/>
            <w:bookmarkEnd w:id="0"/>
            <w:r w:rsidR="008C4EFD">
              <w:t xml:space="preserve">articipation is completely voluntary. Participation lasts until hospital discharge – no further medications or testing will be required. </w:t>
            </w:r>
          </w:p>
        </w:tc>
      </w:tr>
      <w:tr w:rsidR="004A24FB" w:rsidTr="004A24FB">
        <w:tc>
          <w:tcPr>
            <w:tcW w:w="1638" w:type="dxa"/>
            <w:shd w:val="clear" w:color="auto" w:fill="D9D9D9" w:themeFill="background1" w:themeFillShade="D9"/>
          </w:tcPr>
          <w:p w:rsidR="004A24FB" w:rsidRPr="008C4EFD" w:rsidRDefault="008C4EFD">
            <w:pPr>
              <w:rPr>
                <w:b/>
              </w:rPr>
            </w:pPr>
            <w:r w:rsidRPr="008C4EFD">
              <w:rPr>
                <w:b/>
              </w:rPr>
              <w:t>Risks</w:t>
            </w:r>
          </w:p>
        </w:tc>
        <w:tc>
          <w:tcPr>
            <w:tcW w:w="7938" w:type="dxa"/>
          </w:tcPr>
          <w:p w:rsidR="004A24FB" w:rsidRDefault="008C4EFD">
            <w:r>
              <w:t>The medical risks and discomforts of receiving the study medications are similar to the risks of getting standard care. This is because by being in the study and receiving one of the three drugs does not deviate from the standard care you would have otherwise received.</w:t>
            </w:r>
          </w:p>
        </w:tc>
      </w:tr>
      <w:tr w:rsidR="004A24FB" w:rsidTr="004A24FB">
        <w:tc>
          <w:tcPr>
            <w:tcW w:w="1638" w:type="dxa"/>
            <w:shd w:val="clear" w:color="auto" w:fill="D9D9D9" w:themeFill="background1" w:themeFillShade="D9"/>
          </w:tcPr>
          <w:p w:rsidR="004A24FB" w:rsidRPr="008C4EFD" w:rsidRDefault="008C4EFD">
            <w:pPr>
              <w:rPr>
                <w:b/>
              </w:rPr>
            </w:pPr>
            <w:r w:rsidRPr="008C4EFD">
              <w:rPr>
                <w:b/>
              </w:rPr>
              <w:t>Financial Information</w:t>
            </w:r>
          </w:p>
        </w:tc>
        <w:tc>
          <w:tcPr>
            <w:tcW w:w="7938" w:type="dxa"/>
          </w:tcPr>
          <w:p w:rsidR="008C4EFD" w:rsidRPr="00033BA8" w:rsidRDefault="008C4EFD" w:rsidP="008C4EFD">
            <w:pPr>
              <w:spacing w:after="240"/>
              <w:rPr>
                <w:b/>
                <w:sz w:val="22"/>
              </w:rPr>
            </w:pPr>
            <w:r>
              <w:t xml:space="preserve">The study medicines are provided free of charge. </w:t>
            </w:r>
            <w:r w:rsidRPr="00033BA8">
              <w:rPr>
                <w:sz w:val="22"/>
              </w:rPr>
              <w:t>You or your health plan will pay for all the things you would have paid for even if you were not in the study, like:</w:t>
            </w:r>
          </w:p>
          <w:p w:rsidR="008C4EFD" w:rsidRPr="00033BA8" w:rsidRDefault="008C4EFD" w:rsidP="008C4EFD">
            <w:pPr>
              <w:pStyle w:val="ListParagraph"/>
              <w:numPr>
                <w:ilvl w:val="0"/>
                <w:numId w:val="1"/>
              </w:numPr>
              <w:spacing w:after="240"/>
              <w:rPr>
                <w:b/>
                <w:sz w:val="22"/>
                <w:szCs w:val="22"/>
              </w:rPr>
            </w:pPr>
            <w:r w:rsidRPr="00033BA8">
              <w:rPr>
                <w:sz w:val="22"/>
                <w:szCs w:val="22"/>
              </w:rPr>
              <w:t>Health care given during the study as part of your regular care</w:t>
            </w:r>
          </w:p>
          <w:p w:rsidR="008C4EFD" w:rsidRPr="00033BA8" w:rsidRDefault="008C4EFD" w:rsidP="008C4EFD">
            <w:pPr>
              <w:pStyle w:val="ListParagraph"/>
              <w:numPr>
                <w:ilvl w:val="0"/>
                <w:numId w:val="1"/>
              </w:numPr>
              <w:spacing w:after="240"/>
              <w:rPr>
                <w:b/>
                <w:sz w:val="22"/>
                <w:szCs w:val="22"/>
              </w:rPr>
            </w:pPr>
            <w:r w:rsidRPr="00033BA8">
              <w:rPr>
                <w:sz w:val="22"/>
                <w:szCs w:val="22"/>
              </w:rPr>
              <w:t>Items or services needed to give you study drugs or devices</w:t>
            </w:r>
          </w:p>
          <w:p w:rsidR="008C4EFD" w:rsidRPr="00033BA8" w:rsidRDefault="008C4EFD" w:rsidP="008C4EFD">
            <w:pPr>
              <w:pStyle w:val="ListParagraph"/>
              <w:numPr>
                <w:ilvl w:val="0"/>
                <w:numId w:val="1"/>
              </w:numPr>
              <w:spacing w:after="240"/>
              <w:rPr>
                <w:b/>
                <w:sz w:val="22"/>
                <w:szCs w:val="22"/>
              </w:rPr>
            </w:pPr>
            <w:r w:rsidRPr="00033BA8">
              <w:rPr>
                <w:sz w:val="22"/>
                <w:szCs w:val="22"/>
              </w:rPr>
              <w:t>Monitoring for side effects or other problems</w:t>
            </w:r>
          </w:p>
          <w:p w:rsidR="004A24FB" w:rsidRPr="000D49E9" w:rsidRDefault="008C4EFD" w:rsidP="008C4EFD">
            <w:pPr>
              <w:pStyle w:val="ListParagraph"/>
              <w:numPr>
                <w:ilvl w:val="0"/>
                <w:numId w:val="1"/>
              </w:numPr>
              <w:spacing w:after="240"/>
              <w:rPr>
                <w:b/>
                <w:sz w:val="22"/>
                <w:szCs w:val="22"/>
              </w:rPr>
            </w:pPr>
            <w:r w:rsidRPr="00033BA8">
              <w:rPr>
                <w:sz w:val="22"/>
                <w:szCs w:val="22"/>
              </w:rPr>
              <w:t>Deductibles or co-pays for these items or services.</w:t>
            </w:r>
          </w:p>
          <w:p w:rsidR="000D49E9" w:rsidRPr="000D49E9" w:rsidRDefault="000D49E9" w:rsidP="000D49E9">
            <w:pPr>
              <w:spacing w:after="240"/>
              <w:rPr>
                <w:sz w:val="22"/>
              </w:rPr>
            </w:pPr>
            <w:r w:rsidRPr="000D49E9">
              <w:rPr>
                <w:sz w:val="22"/>
              </w:rPr>
              <w:t>You will not receive payment for being in the study.</w:t>
            </w:r>
          </w:p>
        </w:tc>
      </w:tr>
      <w:tr w:rsidR="004A24FB" w:rsidTr="004A24FB">
        <w:tc>
          <w:tcPr>
            <w:tcW w:w="1638" w:type="dxa"/>
            <w:shd w:val="clear" w:color="auto" w:fill="D9D9D9" w:themeFill="background1" w:themeFillShade="D9"/>
          </w:tcPr>
          <w:p w:rsidR="004A24FB" w:rsidRPr="000D49E9" w:rsidRDefault="000D49E9">
            <w:pPr>
              <w:rPr>
                <w:b/>
              </w:rPr>
            </w:pPr>
            <w:r w:rsidRPr="000D49E9">
              <w:rPr>
                <w:b/>
              </w:rPr>
              <w:t>Privacy</w:t>
            </w:r>
          </w:p>
        </w:tc>
        <w:tc>
          <w:tcPr>
            <w:tcW w:w="7938" w:type="dxa"/>
          </w:tcPr>
          <w:p w:rsidR="004A24FB" w:rsidRDefault="000D49E9" w:rsidP="000D49E9">
            <w:r w:rsidRPr="00033BA8">
              <w:rPr>
                <w:rFonts w:eastAsia="Calibri"/>
                <w:color w:val="000000"/>
                <w:sz w:val="22"/>
              </w:rPr>
              <w:t>To protect your privacy, the information about you gathered for this study will be coded with a special study number</w:t>
            </w:r>
            <w:r>
              <w:rPr>
                <w:rFonts w:eastAsia="Calibri"/>
                <w:color w:val="000000"/>
                <w:sz w:val="22"/>
              </w:rPr>
              <w:t xml:space="preserve"> rather than your name (example: “subject #2”)</w:t>
            </w:r>
            <w:r w:rsidRPr="00033BA8">
              <w:rPr>
                <w:rFonts w:eastAsia="Calibri"/>
                <w:color w:val="000000"/>
                <w:sz w:val="22"/>
              </w:rPr>
              <w:t>. Your name and information that could identify you will be stored</w:t>
            </w:r>
            <w:r>
              <w:rPr>
                <w:rFonts w:eastAsia="Calibri"/>
                <w:color w:val="000000"/>
                <w:sz w:val="22"/>
              </w:rPr>
              <w:t xml:space="preserve"> separately in a secure </w:t>
            </w:r>
            <w:r w:rsidRPr="00033BA8">
              <w:rPr>
                <w:rFonts w:eastAsia="Calibri"/>
                <w:color w:val="000000"/>
                <w:sz w:val="22"/>
              </w:rPr>
              <w:t xml:space="preserve">study database.  Information </w:t>
            </w:r>
            <w:r>
              <w:rPr>
                <w:rFonts w:eastAsia="Calibri"/>
                <w:color w:val="000000"/>
                <w:sz w:val="22"/>
              </w:rPr>
              <w:t xml:space="preserve">about you stored </w:t>
            </w:r>
            <w:r w:rsidRPr="00033BA8">
              <w:rPr>
                <w:rFonts w:eastAsia="Calibri"/>
                <w:color w:val="000000"/>
                <w:sz w:val="22"/>
              </w:rPr>
              <w:t xml:space="preserve">in </w:t>
            </w:r>
            <w:r>
              <w:rPr>
                <w:rFonts w:eastAsia="Calibri"/>
                <w:color w:val="000000"/>
                <w:sz w:val="22"/>
              </w:rPr>
              <w:t xml:space="preserve">your </w:t>
            </w:r>
            <w:r w:rsidRPr="00033BA8">
              <w:rPr>
                <w:rFonts w:eastAsia="Calibri"/>
                <w:color w:val="000000"/>
                <w:sz w:val="22"/>
              </w:rPr>
              <w:t>medical record</w:t>
            </w:r>
            <w:r>
              <w:rPr>
                <w:rFonts w:eastAsia="Calibri"/>
                <w:color w:val="000000"/>
                <w:sz w:val="22"/>
              </w:rPr>
              <w:t>s</w:t>
            </w:r>
            <w:r w:rsidRPr="00033BA8">
              <w:rPr>
                <w:rFonts w:eastAsia="Calibri"/>
                <w:color w:val="000000"/>
                <w:sz w:val="22"/>
              </w:rPr>
              <w:t xml:space="preserve"> and</w:t>
            </w:r>
            <w:r>
              <w:rPr>
                <w:rFonts w:eastAsia="Calibri"/>
                <w:color w:val="000000"/>
                <w:sz w:val="22"/>
              </w:rPr>
              <w:t xml:space="preserve"> in</w:t>
            </w:r>
            <w:r w:rsidRPr="00033BA8">
              <w:rPr>
                <w:rFonts w:eastAsia="Calibri"/>
                <w:color w:val="000000"/>
                <w:sz w:val="22"/>
              </w:rPr>
              <w:t xml:space="preserve"> </w:t>
            </w:r>
            <w:r>
              <w:rPr>
                <w:rFonts w:eastAsia="Calibri"/>
                <w:color w:val="000000"/>
                <w:sz w:val="22"/>
              </w:rPr>
              <w:t xml:space="preserve">the study database will only be </w:t>
            </w:r>
            <w:r w:rsidRPr="00033BA8">
              <w:rPr>
                <w:rFonts w:eastAsia="Calibri"/>
                <w:color w:val="000000"/>
                <w:sz w:val="22"/>
              </w:rPr>
              <w:t xml:space="preserve">reviewed by </w:t>
            </w:r>
            <w:r>
              <w:rPr>
                <w:rFonts w:eastAsia="Calibri"/>
                <w:color w:val="000000"/>
                <w:sz w:val="22"/>
              </w:rPr>
              <w:t>those overseeing this project.</w:t>
            </w:r>
          </w:p>
        </w:tc>
      </w:tr>
    </w:tbl>
    <w:p w:rsidR="00FF5D73" w:rsidRDefault="00AF4857"/>
    <w:sectPr w:rsidR="00FF5D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FB" w:rsidRDefault="004A24FB" w:rsidP="004A24FB">
      <w:pPr>
        <w:spacing w:after="0" w:line="240" w:lineRule="auto"/>
      </w:pPr>
      <w:r>
        <w:separator/>
      </w:r>
    </w:p>
  </w:endnote>
  <w:endnote w:type="continuationSeparator" w:id="0">
    <w:p w:rsidR="004A24FB" w:rsidRDefault="004A24FB" w:rsidP="004A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FB" w:rsidRDefault="004A24FB" w:rsidP="004A24FB">
      <w:pPr>
        <w:spacing w:after="0" w:line="240" w:lineRule="auto"/>
      </w:pPr>
      <w:r>
        <w:separator/>
      </w:r>
    </w:p>
  </w:footnote>
  <w:footnote w:type="continuationSeparator" w:id="0">
    <w:p w:rsidR="004A24FB" w:rsidRDefault="004A24FB" w:rsidP="004A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857"/>
      <w:gridCol w:w="7701"/>
    </w:tblGrid>
    <w:tr w:rsidR="004A24FB" w:rsidTr="003D49B0">
      <w:tc>
        <w:tcPr>
          <w:tcW w:w="1857" w:type="dxa"/>
          <w:shd w:val="clear" w:color="auto" w:fill="F2F2F2" w:themeFill="background1" w:themeFillShade="F2"/>
        </w:tcPr>
        <w:p w:rsidR="004A24FB" w:rsidRPr="00780D31" w:rsidRDefault="004A24FB" w:rsidP="003D49B0">
          <w:pPr>
            <w:pStyle w:val="Header"/>
            <w:rPr>
              <w:rFonts w:cs="Times New Roman"/>
              <w:sz w:val="20"/>
              <w:szCs w:val="20"/>
            </w:rPr>
          </w:pPr>
          <w:r w:rsidRPr="00780D31">
            <w:rPr>
              <w:rFonts w:cs="Times New Roman"/>
              <w:sz w:val="20"/>
              <w:szCs w:val="20"/>
            </w:rPr>
            <w:t>ESETT</w:t>
          </w:r>
        </w:p>
        <w:p w:rsidR="004A24FB" w:rsidRPr="00780D31" w:rsidRDefault="004A24FB" w:rsidP="003D49B0">
          <w:pPr>
            <w:pStyle w:val="Header"/>
            <w:rPr>
              <w:rFonts w:cs="Times New Roman"/>
              <w:sz w:val="20"/>
              <w:szCs w:val="20"/>
            </w:rPr>
          </w:pPr>
          <w:r w:rsidRPr="00780D31">
            <w:rPr>
              <w:rFonts w:cs="Times New Roman"/>
              <w:sz w:val="20"/>
              <w:szCs w:val="20"/>
            </w:rPr>
            <w:t>HUM00096708</w:t>
          </w:r>
        </w:p>
      </w:tc>
      <w:tc>
        <w:tcPr>
          <w:tcW w:w="7701" w:type="dxa"/>
        </w:tcPr>
        <w:p w:rsidR="004A24FB" w:rsidRPr="00780D31" w:rsidRDefault="004A24FB" w:rsidP="003D49B0">
          <w:pPr>
            <w:pStyle w:val="Header"/>
            <w:rPr>
              <w:rFonts w:cs="Times New Roman"/>
              <w:sz w:val="20"/>
              <w:szCs w:val="20"/>
            </w:rPr>
          </w:pPr>
          <w:r w:rsidRPr="00780D31">
            <w:rPr>
              <w:rFonts w:cs="Times New Roman"/>
              <w:sz w:val="20"/>
              <w:szCs w:val="20"/>
            </w:rPr>
            <w:t>Study Title: Established Status Epilepticus Treatment Trial (ESETT)</w:t>
          </w:r>
        </w:p>
        <w:p w:rsidR="004A24FB" w:rsidRDefault="004A24FB" w:rsidP="003D49B0">
          <w:pPr>
            <w:pStyle w:val="Header"/>
            <w:rPr>
              <w:rFonts w:cs="Times New Roman"/>
              <w:sz w:val="20"/>
              <w:szCs w:val="20"/>
            </w:rPr>
          </w:pPr>
          <w:r w:rsidRPr="00780D31">
            <w:rPr>
              <w:rFonts w:cs="Times New Roman"/>
              <w:sz w:val="20"/>
              <w:szCs w:val="20"/>
            </w:rPr>
            <w:t>A multicenter, randomized, blinded, comparative effectiveness study of fosphenytoin, valproic acid, or levetiracetam in the emergency department treatment of patients with benzodiazepine-refractory status epilepticus.</w:t>
          </w:r>
        </w:p>
        <w:p w:rsidR="004A24FB" w:rsidRDefault="004A24FB" w:rsidP="003D49B0">
          <w:pPr>
            <w:pStyle w:val="Header"/>
            <w:rPr>
              <w:rFonts w:cs="Times New Roman"/>
              <w:sz w:val="20"/>
              <w:szCs w:val="20"/>
            </w:rPr>
          </w:pPr>
        </w:p>
        <w:p w:rsidR="004A24FB" w:rsidRDefault="004A24FB" w:rsidP="003D49B0">
          <w:pPr>
            <w:pStyle w:val="Header"/>
            <w:rPr>
              <w:rFonts w:cs="Times New Roman"/>
              <w:sz w:val="20"/>
              <w:szCs w:val="20"/>
            </w:rPr>
          </w:pPr>
          <w:r>
            <w:rPr>
              <w:rFonts w:cs="Times New Roman"/>
              <w:sz w:val="20"/>
              <w:szCs w:val="20"/>
            </w:rPr>
            <w:t>PI PEDS: A. Rogers, MD</w:t>
          </w:r>
        </w:p>
        <w:p w:rsidR="004A24FB" w:rsidRPr="00780D31" w:rsidRDefault="004A24FB" w:rsidP="003D49B0">
          <w:pPr>
            <w:pStyle w:val="Header"/>
            <w:rPr>
              <w:rFonts w:cs="Times New Roman"/>
              <w:sz w:val="20"/>
              <w:szCs w:val="20"/>
            </w:rPr>
          </w:pPr>
          <w:r>
            <w:rPr>
              <w:rFonts w:cs="Times New Roman"/>
              <w:sz w:val="20"/>
              <w:szCs w:val="20"/>
            </w:rPr>
            <w:t>PI Adult: R. Silbergleit, MD</w:t>
          </w:r>
        </w:p>
      </w:tc>
    </w:tr>
  </w:tbl>
  <w:p w:rsidR="004A24FB" w:rsidRDefault="004A2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FB"/>
    <w:rsid w:val="000D49E9"/>
    <w:rsid w:val="0017268A"/>
    <w:rsid w:val="004A24FB"/>
    <w:rsid w:val="00884C91"/>
    <w:rsid w:val="008C4EFD"/>
    <w:rsid w:val="00A72A3E"/>
    <w:rsid w:val="00AF4857"/>
    <w:rsid w:val="00C502BD"/>
    <w:rsid w:val="00F3085A"/>
    <w:rsid w:val="00F8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FB"/>
  </w:style>
  <w:style w:type="paragraph" w:styleId="Footer">
    <w:name w:val="footer"/>
    <w:basedOn w:val="Normal"/>
    <w:link w:val="FooterChar"/>
    <w:uiPriority w:val="99"/>
    <w:unhideWhenUsed/>
    <w:rsid w:val="004A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FB"/>
  </w:style>
  <w:style w:type="table" w:styleId="TableGrid">
    <w:name w:val="Table Grid"/>
    <w:basedOn w:val="TableNormal"/>
    <w:uiPriority w:val="59"/>
    <w:rsid w:val="004A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EFD"/>
    <w:pPr>
      <w:spacing w:after="0" w:line="240" w:lineRule="auto"/>
      <w:ind w:left="720"/>
      <w:contextualSpacing/>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FB"/>
  </w:style>
  <w:style w:type="paragraph" w:styleId="Footer">
    <w:name w:val="footer"/>
    <w:basedOn w:val="Normal"/>
    <w:link w:val="FooterChar"/>
    <w:uiPriority w:val="99"/>
    <w:unhideWhenUsed/>
    <w:rsid w:val="004A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FB"/>
  </w:style>
  <w:style w:type="table" w:styleId="TableGrid">
    <w:name w:val="Table Grid"/>
    <w:basedOn w:val="TableNormal"/>
    <w:uiPriority w:val="59"/>
    <w:rsid w:val="004A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EFD"/>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Herzog, Noelle</dc:creator>
  <cp:lastModifiedBy>Herzog, Noelle</cp:lastModifiedBy>
  <cp:revision>3</cp:revision>
  <dcterms:created xsi:type="dcterms:W3CDTF">2015-11-01T00:03:00Z</dcterms:created>
  <dcterms:modified xsi:type="dcterms:W3CDTF">2015-11-17T03:41:00Z</dcterms:modified>
</cp:coreProperties>
</file>