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E73B43" w:rsidTr="00E73B43">
        <w:tc>
          <w:tcPr>
            <w:tcW w:w="9576" w:type="dxa"/>
            <w:gridSpan w:val="2"/>
            <w:shd w:val="clear" w:color="auto" w:fill="D9D9D9" w:themeFill="background1" w:themeFillShade="D9"/>
          </w:tcPr>
          <w:p w:rsidR="00E73B43" w:rsidRDefault="00E73B43" w:rsidP="00E73B43">
            <w:pPr>
              <w:jc w:val="center"/>
              <w:rPr>
                <w:b/>
              </w:rPr>
            </w:pPr>
            <w:r>
              <w:rPr>
                <w:b/>
              </w:rPr>
              <w:t>Nursing Guide to ESETT</w:t>
            </w:r>
          </w:p>
          <w:p w:rsidR="007D215E" w:rsidRPr="00E73B43" w:rsidRDefault="000834CA" w:rsidP="00E73B43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(RC Use</w:t>
            </w:r>
            <w:r w:rsidR="007D215E" w:rsidRPr="007D215E">
              <w:rPr>
                <w:b/>
                <w:color w:val="FF0000"/>
              </w:rPr>
              <w:t xml:space="preserve"> Only</w:t>
            </w:r>
            <w:r>
              <w:rPr>
                <w:b/>
                <w:color w:val="FF0000"/>
              </w:rPr>
              <w:t xml:space="preserve"> – not a handout</w:t>
            </w:r>
            <w:r w:rsidR="007D215E" w:rsidRPr="007D215E">
              <w:rPr>
                <w:b/>
                <w:color w:val="FF0000"/>
              </w:rPr>
              <w:t>)</w:t>
            </w:r>
          </w:p>
        </w:tc>
      </w:tr>
      <w:tr w:rsidR="00E73B43" w:rsidTr="00E73B43">
        <w:tc>
          <w:tcPr>
            <w:tcW w:w="1548" w:type="dxa"/>
            <w:shd w:val="clear" w:color="auto" w:fill="D9D9D9" w:themeFill="background1" w:themeFillShade="D9"/>
          </w:tcPr>
          <w:p w:rsidR="00E73B43" w:rsidRPr="00FA433C" w:rsidRDefault="00FA433C">
            <w:pPr>
              <w:rPr>
                <w:b/>
              </w:rPr>
            </w:pPr>
            <w:r w:rsidRPr="00FA433C">
              <w:rPr>
                <w:b/>
              </w:rPr>
              <w:t>Materials</w:t>
            </w:r>
          </w:p>
        </w:tc>
        <w:tc>
          <w:tcPr>
            <w:tcW w:w="8028" w:type="dxa"/>
          </w:tcPr>
          <w:p w:rsidR="00FA433C" w:rsidRDefault="009F569F">
            <w:r>
              <w:t xml:space="preserve">Procedure Demonstration for Max Dose. Access </w:t>
            </w:r>
            <w:hyperlink r:id="rId8" w:history="1">
              <w:r w:rsidRPr="009F569F">
                <w:rPr>
                  <w:rStyle w:val="Hyperlink"/>
                </w:rPr>
                <w:t>here</w:t>
              </w:r>
            </w:hyperlink>
            <w:r>
              <w:t>.</w:t>
            </w:r>
          </w:p>
          <w:p w:rsidR="00FD01C9" w:rsidRDefault="00FD01C9">
            <w:r>
              <w:t xml:space="preserve">Step-by-step </w:t>
            </w:r>
            <w:proofErr w:type="gramStart"/>
            <w:r>
              <w:t>poster print</w:t>
            </w:r>
            <w:proofErr w:type="gramEnd"/>
            <w:r>
              <w:t xml:space="preserve"> out</w:t>
            </w:r>
            <w:r w:rsidR="00201D28">
              <w:t xml:space="preserve">. Access </w:t>
            </w:r>
            <w:hyperlink r:id="rId9" w:history="1">
              <w:r w:rsidR="00201D28" w:rsidRPr="00201D28">
                <w:rPr>
                  <w:rStyle w:val="Hyperlink"/>
                </w:rPr>
                <w:t>here</w:t>
              </w:r>
            </w:hyperlink>
            <w:r w:rsidR="00201D28">
              <w:t>.</w:t>
            </w:r>
            <w:r>
              <w:t xml:space="preserve"> </w:t>
            </w:r>
          </w:p>
          <w:p w:rsidR="00F07A9D" w:rsidRDefault="00F07A9D">
            <w:r>
              <w:t>Inclusion/Exclusion card and dosing chart</w:t>
            </w:r>
            <w:r w:rsidR="00201D28">
              <w:t xml:space="preserve">. Access </w:t>
            </w:r>
            <w:hyperlink r:id="rId10" w:history="1">
              <w:r w:rsidR="00201D28" w:rsidRPr="00201D28">
                <w:rPr>
                  <w:rStyle w:val="Hyperlink"/>
                </w:rPr>
                <w:t>here</w:t>
              </w:r>
            </w:hyperlink>
            <w:r w:rsidR="00201D28">
              <w:t>.</w:t>
            </w:r>
          </w:p>
          <w:p w:rsidR="00FA433C" w:rsidRDefault="00FA433C">
            <w:r>
              <w:t>Pocket cards</w:t>
            </w:r>
            <w:r w:rsidR="00201D28">
              <w:t xml:space="preserve">. </w:t>
            </w:r>
            <w:hyperlink r:id="rId11" w:history="1">
              <w:r w:rsidR="00201D28" w:rsidRPr="00201D28">
                <w:rPr>
                  <w:rStyle w:val="Hyperlink"/>
                </w:rPr>
                <w:t>Front</w:t>
              </w:r>
            </w:hyperlink>
            <w:r w:rsidR="00201D28">
              <w:t xml:space="preserve">. </w:t>
            </w:r>
            <w:hyperlink r:id="rId12" w:history="1">
              <w:r w:rsidR="00201D28" w:rsidRPr="00201D28">
                <w:rPr>
                  <w:rStyle w:val="Hyperlink"/>
                </w:rPr>
                <w:t>Back</w:t>
              </w:r>
            </w:hyperlink>
            <w:r w:rsidR="00201D28">
              <w:t>.</w:t>
            </w:r>
          </w:p>
          <w:p w:rsidR="00FA433C" w:rsidRDefault="00FA433C">
            <w:r>
              <w:t>ESETT box</w:t>
            </w:r>
            <w:r w:rsidR="00717699">
              <w:t xml:space="preserve"> appropriate to location</w:t>
            </w:r>
          </w:p>
          <w:p w:rsidR="00CB3863" w:rsidRDefault="00CB3863">
            <w:r>
              <w:t>Opt-out bracelet</w:t>
            </w:r>
          </w:p>
        </w:tc>
      </w:tr>
      <w:tr w:rsidR="00E73B43" w:rsidTr="00E73B43">
        <w:tc>
          <w:tcPr>
            <w:tcW w:w="1548" w:type="dxa"/>
            <w:shd w:val="clear" w:color="auto" w:fill="D9D9D9" w:themeFill="background1" w:themeFillShade="D9"/>
          </w:tcPr>
          <w:p w:rsidR="00E73B43" w:rsidRPr="00FA433C" w:rsidRDefault="00FA433C">
            <w:pPr>
              <w:rPr>
                <w:b/>
              </w:rPr>
            </w:pPr>
            <w:r w:rsidRPr="00FA433C">
              <w:rPr>
                <w:b/>
              </w:rPr>
              <w:t>Study Purpose</w:t>
            </w:r>
          </w:p>
        </w:tc>
        <w:tc>
          <w:tcPr>
            <w:tcW w:w="8028" w:type="dxa"/>
          </w:tcPr>
          <w:p w:rsidR="00E73B43" w:rsidRDefault="00FA433C">
            <w:pPr>
              <w:rPr>
                <w:rFonts w:eastAsia="Calibri"/>
                <w:color w:val="000000"/>
                <w:sz w:val="22"/>
              </w:rPr>
            </w:pPr>
            <w:r>
              <w:t>Established Status Epilepticus Treatment Trial or ESETT looks at which of these three medications</w:t>
            </w:r>
            <w:r w:rsidR="00EF6446">
              <w:t xml:space="preserve"> as a second line </w:t>
            </w:r>
            <w:proofErr w:type="spellStart"/>
            <w:r w:rsidR="00EF6446">
              <w:t>convulsant</w:t>
            </w:r>
            <w:proofErr w:type="spellEnd"/>
            <w:r>
              <w:t xml:space="preserve">: </w:t>
            </w:r>
            <w:proofErr w:type="spellStart"/>
            <w:r w:rsidRPr="00033BA8">
              <w:rPr>
                <w:rFonts w:eastAsia="Calibri"/>
                <w:color w:val="000000"/>
                <w:sz w:val="22"/>
              </w:rPr>
              <w:t>fosphenytoin</w:t>
            </w:r>
            <w:proofErr w:type="spellEnd"/>
            <w:r w:rsidRPr="00033BA8">
              <w:rPr>
                <w:rFonts w:eastAsia="Calibri"/>
                <w:color w:val="000000"/>
                <w:sz w:val="22"/>
              </w:rPr>
              <w:t xml:space="preserve"> (also called </w:t>
            </w:r>
            <w:proofErr w:type="spellStart"/>
            <w:r w:rsidRPr="00033BA8">
              <w:rPr>
                <w:rFonts w:eastAsia="Calibri"/>
                <w:color w:val="000000"/>
                <w:sz w:val="22"/>
              </w:rPr>
              <w:t>Cerebyx</w:t>
            </w:r>
            <w:proofErr w:type="spellEnd"/>
            <w:r w:rsidRPr="00033BA8">
              <w:rPr>
                <w:rFonts w:eastAsia="Calibri"/>
                <w:color w:val="000000"/>
                <w:sz w:val="22"/>
              </w:rPr>
              <w:t xml:space="preserve">, similar to Dilantin), </w:t>
            </w:r>
            <w:proofErr w:type="spellStart"/>
            <w:r w:rsidRPr="00033BA8">
              <w:rPr>
                <w:rFonts w:eastAsia="Calibri"/>
                <w:color w:val="000000"/>
                <w:sz w:val="22"/>
              </w:rPr>
              <w:t>levetiracetam</w:t>
            </w:r>
            <w:proofErr w:type="spellEnd"/>
            <w:r w:rsidRPr="00033BA8">
              <w:rPr>
                <w:rFonts w:eastAsia="Calibri"/>
                <w:color w:val="000000"/>
                <w:sz w:val="22"/>
              </w:rPr>
              <w:t xml:space="preserve"> (also called </w:t>
            </w:r>
            <w:proofErr w:type="spellStart"/>
            <w:r w:rsidRPr="00033BA8">
              <w:rPr>
                <w:rFonts w:eastAsia="Calibri"/>
                <w:color w:val="000000"/>
                <w:sz w:val="22"/>
              </w:rPr>
              <w:t>Keppra</w:t>
            </w:r>
            <w:proofErr w:type="spellEnd"/>
            <w:r w:rsidRPr="00033BA8">
              <w:rPr>
                <w:rFonts w:eastAsia="Calibri"/>
                <w:color w:val="000000"/>
                <w:sz w:val="22"/>
              </w:rPr>
              <w:t xml:space="preserve">) and </w:t>
            </w:r>
            <w:proofErr w:type="spellStart"/>
            <w:r w:rsidRPr="00033BA8">
              <w:rPr>
                <w:rFonts w:eastAsia="Calibri"/>
                <w:color w:val="000000"/>
                <w:sz w:val="22"/>
              </w:rPr>
              <w:t>valproic</w:t>
            </w:r>
            <w:proofErr w:type="spellEnd"/>
            <w:r w:rsidRPr="00033BA8">
              <w:rPr>
                <w:rFonts w:eastAsia="Calibri"/>
                <w:color w:val="000000"/>
                <w:sz w:val="22"/>
              </w:rPr>
              <w:t xml:space="preserve"> acid (also called </w:t>
            </w:r>
            <w:proofErr w:type="spellStart"/>
            <w:r w:rsidRPr="00033BA8">
              <w:rPr>
                <w:rFonts w:eastAsia="Calibri"/>
                <w:color w:val="000000"/>
                <w:sz w:val="22"/>
              </w:rPr>
              <w:t>Depacon</w:t>
            </w:r>
            <w:proofErr w:type="spellEnd"/>
            <w:r w:rsidRPr="00033BA8">
              <w:rPr>
                <w:rFonts w:eastAsia="Calibri"/>
                <w:color w:val="000000"/>
                <w:sz w:val="22"/>
              </w:rPr>
              <w:t xml:space="preserve"> or Depakote)</w:t>
            </w:r>
            <w:r>
              <w:rPr>
                <w:rFonts w:eastAsia="Calibri"/>
                <w:color w:val="000000"/>
                <w:sz w:val="22"/>
              </w:rPr>
              <w:t xml:space="preserve"> is most effective in patients who have seizures that continue despite initial emergency treatments.</w:t>
            </w:r>
            <w:r w:rsidR="00FF7028">
              <w:rPr>
                <w:rFonts w:eastAsia="Calibri"/>
                <w:color w:val="000000"/>
                <w:sz w:val="22"/>
              </w:rPr>
              <w:t xml:space="preserve"> Patients will be randomized to one of these three drugs.</w:t>
            </w:r>
            <w:r w:rsidR="009F569F">
              <w:rPr>
                <w:rFonts w:eastAsia="Calibri"/>
                <w:color w:val="000000"/>
                <w:sz w:val="22"/>
              </w:rPr>
              <w:t xml:space="preserve"> This is </w:t>
            </w:r>
            <w:r w:rsidR="00A24CF0">
              <w:rPr>
                <w:rFonts w:eastAsia="Calibri"/>
                <w:color w:val="000000"/>
                <w:sz w:val="22"/>
              </w:rPr>
              <w:t>a double-blind study.</w:t>
            </w:r>
          </w:p>
          <w:p w:rsidR="00FF7028" w:rsidRDefault="00FF7028">
            <w:pPr>
              <w:rPr>
                <w:rFonts w:eastAsia="Calibri"/>
                <w:color w:val="000000"/>
                <w:sz w:val="22"/>
              </w:rPr>
            </w:pPr>
          </w:p>
          <w:p w:rsidR="00FF7028" w:rsidRDefault="00FF7028">
            <w:r>
              <w:rPr>
                <w:rFonts w:eastAsia="Calibri"/>
                <w:color w:val="000000"/>
                <w:sz w:val="22"/>
              </w:rPr>
              <w:t>This is an Exception from Informed Consent study, so subjects will be enrolled before they are consented to be in the study. Once things have settled study t</w:t>
            </w:r>
            <w:r w:rsidR="00912F7C">
              <w:rPr>
                <w:rFonts w:eastAsia="Calibri"/>
                <w:color w:val="000000"/>
                <w:sz w:val="22"/>
              </w:rPr>
              <w:t>eam will approach</w:t>
            </w:r>
            <w:r>
              <w:rPr>
                <w:rFonts w:eastAsia="Calibri"/>
                <w:color w:val="000000"/>
                <w:sz w:val="22"/>
              </w:rPr>
              <w:t xml:space="preserve"> LAR to get consent. Social Work will also be aware of the study and can assist when needed.</w:t>
            </w:r>
          </w:p>
        </w:tc>
      </w:tr>
      <w:tr w:rsidR="00E73B43" w:rsidTr="00E73B43">
        <w:tc>
          <w:tcPr>
            <w:tcW w:w="1548" w:type="dxa"/>
            <w:shd w:val="clear" w:color="auto" w:fill="D9D9D9" w:themeFill="background1" w:themeFillShade="D9"/>
          </w:tcPr>
          <w:p w:rsidR="00FA433C" w:rsidRDefault="00FA433C">
            <w:pPr>
              <w:rPr>
                <w:b/>
              </w:rPr>
            </w:pPr>
            <w:r>
              <w:rPr>
                <w:b/>
              </w:rPr>
              <w:t>Inclusion/</w:t>
            </w:r>
          </w:p>
          <w:p w:rsidR="00E73B43" w:rsidRPr="00FA433C" w:rsidRDefault="00FA433C">
            <w:pPr>
              <w:rPr>
                <w:b/>
              </w:rPr>
            </w:pPr>
            <w:r>
              <w:rPr>
                <w:b/>
              </w:rPr>
              <w:t>Exclusion</w:t>
            </w:r>
          </w:p>
        </w:tc>
        <w:tc>
          <w:tcPr>
            <w:tcW w:w="8028" w:type="dxa"/>
          </w:tcPr>
          <w:p w:rsidR="00FA433C" w:rsidRDefault="00FA433C" w:rsidP="00FA433C">
            <w:pPr>
              <w:rPr>
                <w:rFonts w:cs="Times New Roman"/>
              </w:rPr>
            </w:pPr>
            <w:r w:rsidRPr="00852E40">
              <w:rPr>
                <w:rFonts w:cs="Times New Roman"/>
              </w:rPr>
              <w:t>1.) Patient witnessed to seize for greater than 5 minute duration pri</w:t>
            </w:r>
            <w:r>
              <w:rPr>
                <w:rFonts w:cs="Times New Roman"/>
              </w:rPr>
              <w:t>or to treatment with study drug</w:t>
            </w:r>
            <w:r w:rsidRPr="00852E40">
              <w:rPr>
                <w:rFonts w:cs="Times New Roman"/>
              </w:rPr>
              <w:t xml:space="preserve"> </w:t>
            </w:r>
          </w:p>
          <w:p w:rsidR="00FA433C" w:rsidRDefault="00FA433C" w:rsidP="00FA433C">
            <w:pPr>
              <w:rPr>
                <w:rFonts w:cs="Times New Roman"/>
              </w:rPr>
            </w:pPr>
            <w:r w:rsidRPr="00852E40">
              <w:rPr>
                <w:rFonts w:cs="Times New Roman"/>
              </w:rPr>
              <w:t xml:space="preserve">2.) Patient received adequate dose of benzodiazepines. The last dose of </w:t>
            </w:r>
            <w:proofErr w:type="spellStart"/>
            <w:r w:rsidRPr="00852E40">
              <w:rPr>
                <w:rFonts w:cs="Times New Roman"/>
              </w:rPr>
              <w:t>benzo</w:t>
            </w:r>
            <w:proofErr w:type="spellEnd"/>
            <w:r w:rsidRPr="00852E40">
              <w:rPr>
                <w:rFonts w:cs="Times New Roman"/>
              </w:rPr>
              <w:t xml:space="preserve"> was administered in the 5-30 minutes prior to study drug administration, </w:t>
            </w:r>
          </w:p>
          <w:p w:rsidR="00FA433C" w:rsidRDefault="00FA433C" w:rsidP="00FA433C">
            <w:pPr>
              <w:rPr>
                <w:rFonts w:cs="Times New Roman"/>
              </w:rPr>
            </w:pPr>
            <w:r w:rsidRPr="00852E40">
              <w:rPr>
                <w:rFonts w:cs="Times New Roman"/>
              </w:rPr>
              <w:t xml:space="preserve">3.) Continued </w:t>
            </w:r>
            <w:r>
              <w:rPr>
                <w:rFonts w:cs="Times New Roman"/>
              </w:rPr>
              <w:t>or recurring seizure in ED</w:t>
            </w:r>
          </w:p>
          <w:p w:rsidR="00FA433C" w:rsidRDefault="00FA433C" w:rsidP="00FA433C">
            <w:pPr>
              <w:rPr>
                <w:rFonts w:cs="Times New Roman"/>
              </w:rPr>
            </w:pPr>
            <w:r w:rsidRPr="00852E40">
              <w:rPr>
                <w:rFonts w:cs="Times New Roman"/>
              </w:rPr>
              <w:t>4.) Age 2 years or older</w:t>
            </w:r>
            <w:r>
              <w:rPr>
                <w:rFonts w:cs="Times New Roman"/>
              </w:rPr>
              <w:t>.</w:t>
            </w:r>
          </w:p>
          <w:p w:rsidR="00FA433C" w:rsidRDefault="00FA433C" w:rsidP="00FA433C">
            <w:pPr>
              <w:rPr>
                <w:rFonts w:cs="Times New Roman"/>
              </w:rPr>
            </w:pPr>
          </w:p>
          <w:p w:rsidR="00FA433C" w:rsidRDefault="00FA433C" w:rsidP="00FA433C">
            <w:pPr>
              <w:rPr>
                <w:rFonts w:cs="Times New Roman"/>
              </w:rPr>
            </w:pPr>
            <w:r>
              <w:rPr>
                <w:rFonts w:cs="Times New Roman"/>
              </w:rPr>
              <w:t>Exclusion Criteria:</w:t>
            </w:r>
          </w:p>
          <w:p w:rsidR="00FA433C" w:rsidRDefault="00FA433C" w:rsidP="00FA433C">
            <w:r>
              <w:t>1.) Known pregnancy, severe metabolic/liver/renal disease</w:t>
            </w:r>
          </w:p>
          <w:p w:rsidR="00FA433C" w:rsidRDefault="00FA433C" w:rsidP="00FA433C">
            <w:r>
              <w:t xml:space="preserve">2.) Known allergy or contraindication to: phenytoin (Dilantin), </w:t>
            </w:r>
            <w:proofErr w:type="spellStart"/>
            <w:r>
              <w:t>fosphenytoin</w:t>
            </w:r>
            <w:proofErr w:type="spellEnd"/>
            <w:r>
              <w:t xml:space="preserve"> (</w:t>
            </w:r>
            <w:proofErr w:type="spellStart"/>
            <w:r>
              <w:t>Cerebyx</w:t>
            </w:r>
            <w:proofErr w:type="spellEnd"/>
            <w:r>
              <w:t xml:space="preserve">), </w:t>
            </w:r>
            <w:proofErr w:type="spellStart"/>
            <w:r>
              <w:t>levetiracetam</w:t>
            </w:r>
            <w:proofErr w:type="spellEnd"/>
            <w:r>
              <w:t xml:space="preserve"> (</w:t>
            </w:r>
            <w:proofErr w:type="spellStart"/>
            <w:r>
              <w:t>Keppra</w:t>
            </w:r>
            <w:proofErr w:type="spellEnd"/>
            <w:r>
              <w:t xml:space="preserve">), or </w:t>
            </w:r>
            <w:proofErr w:type="spellStart"/>
            <w:r>
              <w:t>valproic</w:t>
            </w:r>
            <w:proofErr w:type="spellEnd"/>
            <w:r>
              <w:t xml:space="preserve"> acid (Depakote)</w:t>
            </w:r>
          </w:p>
          <w:p w:rsidR="00FA433C" w:rsidRDefault="00FA433C" w:rsidP="00FA433C">
            <w:r>
              <w:t>3.) For this episode of status epilepticus already…given intravenous 2</w:t>
            </w:r>
            <w:r w:rsidRPr="001E736A">
              <w:rPr>
                <w:vertAlign w:val="superscript"/>
              </w:rPr>
              <w:t>nd</w:t>
            </w:r>
            <w:r>
              <w:t xml:space="preserve"> line anticonvulsant or non-</w:t>
            </w:r>
            <w:proofErr w:type="spellStart"/>
            <w:r>
              <w:t>benzo</w:t>
            </w:r>
            <w:proofErr w:type="spellEnd"/>
            <w:r>
              <w:t xml:space="preserve"> sedatives with anticonvulsant properties (</w:t>
            </w:r>
            <w:proofErr w:type="spellStart"/>
            <w:r>
              <w:t>propofol</w:t>
            </w:r>
            <w:proofErr w:type="spellEnd"/>
            <w:r>
              <w:t xml:space="preserve">, </w:t>
            </w:r>
            <w:proofErr w:type="spellStart"/>
            <w:r>
              <w:t>atomidate</w:t>
            </w:r>
            <w:proofErr w:type="spellEnd"/>
            <w:r>
              <w:t xml:space="preserve">, ketamine, </w:t>
            </w:r>
            <w:proofErr w:type="spellStart"/>
            <w:r>
              <w:t>etc</w:t>
            </w:r>
            <w:proofErr w:type="spellEnd"/>
            <w:r>
              <w:t xml:space="preserve">) or </w:t>
            </w:r>
            <w:proofErr w:type="spellStart"/>
            <w:r>
              <w:t>endotracheally</w:t>
            </w:r>
            <w:proofErr w:type="spellEnd"/>
            <w:r>
              <w:t xml:space="preserve"> intubated</w:t>
            </w:r>
          </w:p>
          <w:p w:rsidR="00FA433C" w:rsidRDefault="00FA433C" w:rsidP="00FA433C">
            <w:r>
              <w:t>4.) Status epilepticus thought to be caused by: hypoglycemia &lt;50mg/</w:t>
            </w:r>
            <w:proofErr w:type="spellStart"/>
            <w:r>
              <w:t>dL</w:t>
            </w:r>
            <w:proofErr w:type="spellEnd"/>
            <w:r>
              <w:t>; hyperglycemia &gt;</w:t>
            </w:r>
            <w:bookmarkStart w:id="0" w:name="_GoBack"/>
            <w:r>
              <w:t>40</w:t>
            </w:r>
            <w:bookmarkEnd w:id="0"/>
            <w:r>
              <w:t>0mg/</w:t>
            </w:r>
            <w:proofErr w:type="spellStart"/>
            <w:r>
              <w:t>dL</w:t>
            </w:r>
            <w:proofErr w:type="spellEnd"/>
            <w:r>
              <w:t>; acute traumatic brain injury; cardiac arrest/post anoxia</w:t>
            </w:r>
          </w:p>
          <w:p w:rsidR="00FA433C" w:rsidRDefault="00FA433C" w:rsidP="00FA433C">
            <w:r>
              <w:t>5.) Prisoner</w:t>
            </w:r>
          </w:p>
          <w:p w:rsidR="00A21CAE" w:rsidRDefault="00FA433C" w:rsidP="00FA433C">
            <w:r>
              <w:t>6.) Opt-out identification declining ESETT</w:t>
            </w:r>
          </w:p>
        </w:tc>
      </w:tr>
      <w:tr w:rsidR="00E73B43" w:rsidTr="00E73B43">
        <w:tc>
          <w:tcPr>
            <w:tcW w:w="1548" w:type="dxa"/>
            <w:shd w:val="clear" w:color="auto" w:fill="D9D9D9" w:themeFill="background1" w:themeFillShade="D9"/>
          </w:tcPr>
          <w:p w:rsidR="00E73B43" w:rsidRPr="00FA433C" w:rsidRDefault="00EF6446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8028" w:type="dxa"/>
          </w:tcPr>
          <w:p w:rsidR="003F34CD" w:rsidRDefault="003F34CD" w:rsidP="003F34CD">
            <w:pPr>
              <w:pStyle w:val="ListParagraph"/>
              <w:numPr>
                <w:ilvl w:val="0"/>
                <w:numId w:val="1"/>
              </w:numPr>
            </w:pPr>
            <w:r>
              <w:t>Everyone is responsible for identifying an ESETT patient</w:t>
            </w:r>
          </w:p>
          <w:p w:rsidR="003F34CD" w:rsidRDefault="003F34CD" w:rsidP="003F34CD">
            <w:pPr>
              <w:pStyle w:val="ListParagraph"/>
              <w:numPr>
                <w:ilvl w:val="0"/>
                <w:numId w:val="1"/>
              </w:numPr>
            </w:pPr>
            <w:r>
              <w:t>Ask the physician if patient is ESETT eligible</w:t>
            </w:r>
          </w:p>
          <w:p w:rsidR="00EF6446" w:rsidRPr="003F34CD" w:rsidRDefault="003F34CD" w:rsidP="003F34CD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Follow step-by-step poster</w:t>
            </w:r>
          </w:p>
          <w:p w:rsidR="003F34CD" w:rsidRDefault="003F34CD" w:rsidP="003F34CD">
            <w:pPr>
              <w:pStyle w:val="ListParagraph"/>
              <w:numPr>
                <w:ilvl w:val="0"/>
                <w:numId w:val="1"/>
              </w:numPr>
            </w:pPr>
            <w:r>
              <w:t>ESETT box will be kept at recording nursing desk</w:t>
            </w:r>
          </w:p>
          <w:p w:rsidR="003F34CD" w:rsidRDefault="003F34CD" w:rsidP="003F34CD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>Pharmacy will then collect box if RC has not arrived in time.</w:t>
            </w:r>
          </w:p>
          <w:p w:rsidR="003F34CD" w:rsidRDefault="003F34CD" w:rsidP="003F34CD">
            <w:pPr>
              <w:pStyle w:val="ListParagraph"/>
              <w:numPr>
                <w:ilvl w:val="0"/>
                <w:numId w:val="1"/>
              </w:numPr>
            </w:pPr>
            <w:r>
              <w:t xml:space="preserve">CALL THE STUDY TEAM AT 781-763-7388!!! </w:t>
            </w:r>
          </w:p>
          <w:p w:rsidR="003F34CD" w:rsidRDefault="003F34CD" w:rsidP="003F34CD">
            <w:pPr>
              <w:pStyle w:val="ListParagraph"/>
              <w:numPr>
                <w:ilvl w:val="1"/>
                <w:numId w:val="1"/>
              </w:numPr>
            </w:pPr>
            <w:r>
              <w:t>This number will be located with the step-by-step poster, on your pocket cards, and ESETT box.</w:t>
            </w:r>
          </w:p>
          <w:p w:rsidR="003F34CD" w:rsidRDefault="003F34CD" w:rsidP="003F34CD">
            <w:pPr>
              <w:pStyle w:val="ListParagraph"/>
              <w:numPr>
                <w:ilvl w:val="0"/>
                <w:numId w:val="1"/>
              </w:numPr>
            </w:pPr>
            <w:r>
              <w:t xml:space="preserve">If there has been no word from study team that they are on their way, you are to call this number again. </w:t>
            </w:r>
          </w:p>
          <w:p w:rsidR="00F07A9D" w:rsidRDefault="00F07A9D" w:rsidP="00095C9F"/>
        </w:tc>
      </w:tr>
      <w:tr w:rsidR="00C875E9" w:rsidTr="00E73B43">
        <w:tc>
          <w:tcPr>
            <w:tcW w:w="1548" w:type="dxa"/>
            <w:shd w:val="clear" w:color="auto" w:fill="D9D9D9" w:themeFill="background1" w:themeFillShade="D9"/>
          </w:tcPr>
          <w:p w:rsidR="00C875E9" w:rsidRDefault="00C875E9" w:rsidP="00E10C00">
            <w:pPr>
              <w:rPr>
                <w:b/>
              </w:rPr>
            </w:pPr>
            <w:r w:rsidRPr="008B5279">
              <w:rPr>
                <w:b/>
                <w:highlight w:val="yellow"/>
              </w:rPr>
              <w:lastRenderedPageBreak/>
              <w:t>Don’t Forget!</w:t>
            </w:r>
          </w:p>
        </w:tc>
        <w:tc>
          <w:tcPr>
            <w:tcW w:w="8028" w:type="dxa"/>
          </w:tcPr>
          <w:p w:rsidR="005678B5" w:rsidRDefault="005678B5" w:rsidP="00E10C00">
            <w:pPr>
              <w:pStyle w:val="ListParagraph"/>
              <w:numPr>
                <w:ilvl w:val="0"/>
                <w:numId w:val="2"/>
              </w:numPr>
            </w:pPr>
            <w:r>
              <w:t>Explain dose administration at max dose.</w:t>
            </w:r>
          </w:p>
          <w:p w:rsidR="003F34CD" w:rsidRDefault="003F34CD" w:rsidP="003F34CD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C875E9" w:rsidRPr="00FF7028">
              <w:t xml:space="preserve">atch the training video located on your pocket cards. </w:t>
            </w:r>
          </w:p>
          <w:p w:rsidR="003F34CD" w:rsidRDefault="00C875E9" w:rsidP="003F34CD">
            <w:pPr>
              <w:pStyle w:val="ListParagraph"/>
              <w:numPr>
                <w:ilvl w:val="1"/>
                <w:numId w:val="2"/>
              </w:numPr>
            </w:pPr>
            <w:r w:rsidRPr="00FF7028">
              <w:t>Keep your pocket cards on you at all times.</w:t>
            </w:r>
            <w:r>
              <w:t xml:space="preserve"> </w:t>
            </w:r>
          </w:p>
          <w:p w:rsidR="00C875E9" w:rsidRPr="00FF7028" w:rsidRDefault="00C875E9" w:rsidP="00E10C00">
            <w:pPr>
              <w:pStyle w:val="ListParagraph"/>
              <w:numPr>
                <w:ilvl w:val="1"/>
                <w:numId w:val="2"/>
              </w:numPr>
            </w:pPr>
            <w:r>
              <w:t>Explain pocket cards.</w:t>
            </w:r>
          </w:p>
          <w:p w:rsidR="003F34CD" w:rsidRPr="003F34CD" w:rsidRDefault="003F34CD" w:rsidP="003F34C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Show opt-out bracelet</w:t>
            </w:r>
            <w:r w:rsidR="00C875E9" w:rsidRPr="00FF7028">
              <w:t>.</w:t>
            </w:r>
            <w:r w:rsidR="00C875E9">
              <w:t xml:space="preserve"> </w:t>
            </w:r>
          </w:p>
          <w:p w:rsidR="00C875E9" w:rsidRPr="003F34CD" w:rsidRDefault="00C875E9" w:rsidP="003F34CD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>Patients can also opt out of ESETT with their medical alert bracelets.</w:t>
            </w:r>
          </w:p>
          <w:p w:rsidR="003F34CD" w:rsidRPr="003F34CD" w:rsidRDefault="003F34CD" w:rsidP="003F34CD">
            <w:pPr>
              <w:pStyle w:val="ListParagraph"/>
              <w:ind w:left="1440"/>
              <w:rPr>
                <w:b/>
              </w:rPr>
            </w:pPr>
          </w:p>
        </w:tc>
      </w:tr>
      <w:tr w:rsidR="00C875E9" w:rsidTr="00E73B43">
        <w:tc>
          <w:tcPr>
            <w:tcW w:w="1548" w:type="dxa"/>
            <w:shd w:val="clear" w:color="auto" w:fill="D9D9D9" w:themeFill="background1" w:themeFillShade="D9"/>
          </w:tcPr>
          <w:p w:rsidR="00C875E9" w:rsidRPr="008B5279" w:rsidRDefault="00C875E9" w:rsidP="00E10C00">
            <w:pPr>
              <w:rPr>
                <w:b/>
                <w:highlight w:val="yellow"/>
              </w:rPr>
            </w:pPr>
            <w:r w:rsidRPr="00C875E9">
              <w:rPr>
                <w:b/>
              </w:rPr>
              <w:t>Take Home Message</w:t>
            </w:r>
          </w:p>
        </w:tc>
        <w:tc>
          <w:tcPr>
            <w:tcW w:w="8028" w:type="dxa"/>
          </w:tcPr>
          <w:p w:rsidR="00150911" w:rsidRPr="00095C9F" w:rsidRDefault="00C875E9" w:rsidP="00E10C00">
            <w:pPr>
              <w:contextualSpacing/>
            </w:pPr>
            <w:r>
              <w:t>If an ESETT pt appears to be eligible, ask physician if pt is ESETT eligible.</w:t>
            </w:r>
          </w:p>
        </w:tc>
      </w:tr>
      <w:tr w:rsidR="00E73B43" w:rsidTr="00E73B43">
        <w:tc>
          <w:tcPr>
            <w:tcW w:w="1548" w:type="dxa"/>
            <w:shd w:val="clear" w:color="auto" w:fill="D9D9D9" w:themeFill="background1" w:themeFillShade="D9"/>
          </w:tcPr>
          <w:p w:rsidR="00E73B43" w:rsidRPr="00FA433C" w:rsidRDefault="00CC458F">
            <w:pPr>
              <w:rPr>
                <w:b/>
              </w:rPr>
            </w:pPr>
            <w:r>
              <w:rPr>
                <w:b/>
              </w:rPr>
              <w:t>FAQs</w:t>
            </w:r>
          </w:p>
        </w:tc>
        <w:tc>
          <w:tcPr>
            <w:tcW w:w="8028" w:type="dxa"/>
          </w:tcPr>
          <w:p w:rsidR="00CC458F" w:rsidRPr="00FF7028" w:rsidRDefault="00CC458F">
            <w:pPr>
              <w:rPr>
                <w:b/>
              </w:rPr>
            </w:pPr>
            <w:r w:rsidRPr="00CC458F">
              <w:rPr>
                <w:b/>
              </w:rPr>
              <w:t xml:space="preserve">Q. What </w:t>
            </w:r>
            <w:r>
              <w:rPr>
                <w:b/>
              </w:rPr>
              <w:t>entails adequate dose of benzos</w:t>
            </w:r>
            <w:r w:rsidRPr="00CC458F">
              <w:rPr>
                <w:b/>
              </w:rPr>
              <w:t>?</w:t>
            </w:r>
          </w:p>
          <w:p w:rsidR="00CC458F" w:rsidRPr="00CC458F" w:rsidRDefault="00CC458F" w:rsidP="00CC458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F7028">
              <w:rPr>
                <w:b/>
              </w:rPr>
              <w:t xml:space="preserve">A. </w:t>
            </w:r>
            <w:r w:rsidRPr="00CC458F">
              <w:rPr>
                <w:rFonts w:cs="Times New Roman"/>
                <w:szCs w:val="24"/>
              </w:rPr>
              <w:t>Subject received adequate cumulative dose(s) of benzodiazepines (may be</w:t>
            </w:r>
          </w:p>
          <w:p w:rsidR="00CC458F" w:rsidRDefault="00CC458F" w:rsidP="00CC458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C458F">
              <w:rPr>
                <w:rFonts w:cs="Times New Roman"/>
                <w:szCs w:val="24"/>
              </w:rPr>
              <w:t>administered in two or more divided doses):</w:t>
            </w:r>
          </w:p>
          <w:p w:rsidR="00CC458F" w:rsidRPr="00CC458F" w:rsidRDefault="00CC458F" w:rsidP="00CC458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CC458F" w:rsidRPr="00CC458F" w:rsidRDefault="00CC458F" w:rsidP="00CC458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C458F">
              <w:rPr>
                <w:rFonts w:cs="Times New Roman"/>
                <w:szCs w:val="24"/>
                <w:u w:val="single"/>
              </w:rPr>
              <w:t xml:space="preserve">For all adults, and children ≥ </w:t>
            </w:r>
            <w:r w:rsidR="000D5F65">
              <w:rPr>
                <w:rFonts w:cs="Times New Roman"/>
                <w:szCs w:val="24"/>
                <w:u w:val="single"/>
              </w:rPr>
              <w:t>32</w:t>
            </w:r>
            <w:r w:rsidRPr="00CC458F">
              <w:rPr>
                <w:rFonts w:cs="Times New Roman"/>
                <w:szCs w:val="24"/>
                <w:u w:val="single"/>
              </w:rPr>
              <w:t xml:space="preserve"> kg</w:t>
            </w:r>
            <w:r w:rsidRPr="00CC458F">
              <w:rPr>
                <w:rFonts w:cs="Times New Roman"/>
                <w:szCs w:val="24"/>
              </w:rPr>
              <w:t>, adequate doses are at least:</w:t>
            </w:r>
          </w:p>
          <w:p w:rsidR="00CC458F" w:rsidRPr="00CC458F" w:rsidRDefault="00CC458F" w:rsidP="00CC458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C458F">
              <w:rPr>
                <w:rFonts w:cs="Times New Roman"/>
                <w:szCs w:val="24"/>
              </w:rPr>
              <w:t>diazepam 10 mg IV or PR or</w:t>
            </w:r>
          </w:p>
          <w:p w:rsidR="00CC458F" w:rsidRPr="00CC458F" w:rsidRDefault="00CC458F" w:rsidP="00CC458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C458F">
              <w:rPr>
                <w:rFonts w:cs="Times New Roman"/>
                <w:szCs w:val="24"/>
              </w:rPr>
              <w:t>lorazepam 4 mg IV or</w:t>
            </w:r>
          </w:p>
          <w:p w:rsidR="00CC458F" w:rsidRDefault="00CC458F" w:rsidP="00CC458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C458F">
              <w:rPr>
                <w:rFonts w:cs="Times New Roman"/>
                <w:szCs w:val="24"/>
              </w:rPr>
              <w:t>midazolam 10 mg IV or IM</w:t>
            </w:r>
          </w:p>
          <w:p w:rsidR="00CC458F" w:rsidRPr="00CC458F" w:rsidRDefault="00CC458F" w:rsidP="00CC458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CC458F" w:rsidRPr="00CC458F" w:rsidRDefault="00CC458F" w:rsidP="00CC458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C458F">
              <w:rPr>
                <w:rFonts w:cs="Times New Roman"/>
                <w:szCs w:val="24"/>
                <w:u w:val="single"/>
              </w:rPr>
              <w:t xml:space="preserve">For children &lt; </w:t>
            </w:r>
            <w:r w:rsidR="000D5F65">
              <w:rPr>
                <w:rFonts w:cs="Times New Roman"/>
                <w:szCs w:val="24"/>
                <w:u w:val="single"/>
              </w:rPr>
              <w:t>32</w:t>
            </w:r>
            <w:r w:rsidRPr="00CC458F">
              <w:rPr>
                <w:rFonts w:cs="Times New Roman"/>
                <w:szCs w:val="24"/>
                <w:u w:val="single"/>
              </w:rPr>
              <w:t xml:space="preserve"> kg</w:t>
            </w:r>
            <w:r w:rsidRPr="00CC458F">
              <w:rPr>
                <w:rFonts w:cs="Times New Roman"/>
                <w:szCs w:val="24"/>
              </w:rPr>
              <w:t>, adequate doses are at least:</w:t>
            </w:r>
          </w:p>
          <w:p w:rsidR="00CC458F" w:rsidRPr="00CC458F" w:rsidRDefault="00CC458F" w:rsidP="00CC458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C458F">
              <w:rPr>
                <w:rFonts w:cs="Times New Roman"/>
                <w:szCs w:val="24"/>
              </w:rPr>
              <w:t>diazepam 0.3 mg/kg IV or PR or</w:t>
            </w:r>
          </w:p>
          <w:p w:rsidR="00CC458F" w:rsidRPr="00CC458F" w:rsidRDefault="00CC458F" w:rsidP="00CC458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C458F">
              <w:rPr>
                <w:rFonts w:cs="Times New Roman"/>
                <w:szCs w:val="24"/>
              </w:rPr>
              <w:t>lorazepam 0.1 mg/kg IV or</w:t>
            </w:r>
          </w:p>
          <w:p w:rsidR="00CC458F" w:rsidRDefault="00CC458F" w:rsidP="00CC458F">
            <w:pPr>
              <w:rPr>
                <w:rFonts w:cs="Times New Roman"/>
                <w:szCs w:val="24"/>
              </w:rPr>
            </w:pPr>
            <w:r w:rsidRPr="00CC458F">
              <w:rPr>
                <w:rFonts w:cs="Times New Roman"/>
                <w:szCs w:val="24"/>
              </w:rPr>
              <w:t>midazolam 0.3mg/kg IM - or 0.2 mg/kg IV</w:t>
            </w:r>
          </w:p>
          <w:p w:rsidR="00CC458F" w:rsidRDefault="00CC458F" w:rsidP="00CC458F">
            <w:pPr>
              <w:rPr>
                <w:rFonts w:cs="Times New Roman"/>
                <w:szCs w:val="24"/>
              </w:rPr>
            </w:pPr>
          </w:p>
          <w:p w:rsidR="00CC458F" w:rsidRPr="00A21CAE" w:rsidRDefault="00CC458F" w:rsidP="00CC458F">
            <w:pPr>
              <w:pStyle w:val="NormalWeb"/>
              <w:contextualSpacing/>
              <w:rPr>
                <w:color w:val="333333"/>
                <w:lang w:val="en"/>
              </w:rPr>
            </w:pPr>
            <w:r w:rsidRPr="00A21CAE">
              <w:rPr>
                <w:rStyle w:val="Strong"/>
                <w:color w:val="333333"/>
                <w:lang w:val="en"/>
              </w:rPr>
              <w:t>Q.  Does the exclusion criterion ‘metabolic disease’ refer to patients with diabetes?</w:t>
            </w:r>
          </w:p>
          <w:p w:rsidR="007D215E" w:rsidRDefault="00CC458F" w:rsidP="007D215E">
            <w:pPr>
              <w:rPr>
                <w:rFonts w:ascii="Arial" w:hAnsi="Arial" w:cs="Arial"/>
                <w:color w:val="333333"/>
                <w:sz w:val="22"/>
              </w:rPr>
            </w:pPr>
            <w:r w:rsidRPr="00A21CAE">
              <w:rPr>
                <w:rStyle w:val="Strong"/>
                <w:color w:val="333333"/>
                <w:lang w:val="en"/>
              </w:rPr>
              <w:t xml:space="preserve">A.  </w:t>
            </w:r>
            <w:r w:rsidR="007D215E" w:rsidRPr="007D215E">
              <w:rPr>
                <w:rFonts w:cs="Times New Roman"/>
                <w:color w:val="333333"/>
                <w:szCs w:val="24"/>
              </w:rPr>
              <w:t xml:space="preserve">No.  “Metabolic disease” does not refer to either diabetes </w:t>
            </w:r>
            <w:proofErr w:type="gramStart"/>
            <w:r w:rsidR="007D215E" w:rsidRPr="007D215E">
              <w:rPr>
                <w:rFonts w:cs="Times New Roman"/>
                <w:color w:val="333333"/>
                <w:szCs w:val="24"/>
              </w:rPr>
              <w:t>nor</w:t>
            </w:r>
            <w:proofErr w:type="gramEnd"/>
            <w:r w:rsidR="007D215E" w:rsidRPr="007D215E">
              <w:rPr>
                <w:rFonts w:cs="Times New Roman"/>
                <w:color w:val="333333"/>
                <w:szCs w:val="24"/>
              </w:rPr>
              <w:t xml:space="preserve"> to the so-called pre-diabetic “metabolic syndrome”.  Rather, the term “metabolic disease” is an exclusion based upon a warning on the FDA label for VPA referring to certain rare inborn errors of metabolism in children less than 2 years old.</w:t>
            </w:r>
            <w:r w:rsidR="007D215E" w:rsidRPr="00FF1F08">
              <w:rPr>
                <w:rFonts w:ascii="Arial" w:hAnsi="Arial" w:cs="Arial"/>
                <w:color w:val="333333"/>
                <w:sz w:val="22"/>
              </w:rPr>
              <w:t xml:space="preserve">  </w:t>
            </w:r>
          </w:p>
          <w:p w:rsidR="00CC458F" w:rsidRPr="00CC458F" w:rsidRDefault="00CC458F" w:rsidP="00CC458F">
            <w:pPr>
              <w:pStyle w:val="NormalWeb"/>
              <w:contextualSpacing/>
              <w:rPr>
                <w:color w:val="333333"/>
                <w:lang w:val="en"/>
              </w:rPr>
            </w:pPr>
          </w:p>
        </w:tc>
      </w:tr>
    </w:tbl>
    <w:p w:rsidR="00FF5D73" w:rsidRPr="00FF7028" w:rsidRDefault="000D7A22" w:rsidP="00FF7028"/>
    <w:sectPr w:rsidR="00FF5D73" w:rsidRPr="00FF702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22" w:rsidRDefault="000D7A22" w:rsidP="00E73B43">
      <w:pPr>
        <w:spacing w:after="0" w:line="240" w:lineRule="auto"/>
      </w:pPr>
      <w:r>
        <w:separator/>
      </w:r>
    </w:p>
  </w:endnote>
  <w:endnote w:type="continuationSeparator" w:id="0">
    <w:p w:rsidR="000D7A22" w:rsidRDefault="000D7A22" w:rsidP="00E7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22" w:rsidRDefault="000D7A22" w:rsidP="00E73B43">
      <w:pPr>
        <w:spacing w:after="0" w:line="240" w:lineRule="auto"/>
      </w:pPr>
      <w:r>
        <w:separator/>
      </w:r>
    </w:p>
  </w:footnote>
  <w:footnote w:type="continuationSeparator" w:id="0">
    <w:p w:rsidR="000D7A22" w:rsidRDefault="000D7A22" w:rsidP="00E7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57"/>
      <w:gridCol w:w="7701"/>
    </w:tblGrid>
    <w:tr w:rsidR="00E73B43" w:rsidTr="00490401">
      <w:tc>
        <w:tcPr>
          <w:tcW w:w="1857" w:type="dxa"/>
          <w:shd w:val="clear" w:color="auto" w:fill="F2F2F2" w:themeFill="background1" w:themeFillShade="F2"/>
        </w:tcPr>
        <w:p w:rsidR="00E73B43" w:rsidRPr="00780D31" w:rsidRDefault="00E73B43" w:rsidP="00490401">
          <w:pPr>
            <w:pStyle w:val="Header"/>
            <w:rPr>
              <w:rFonts w:cs="Times New Roman"/>
              <w:sz w:val="20"/>
              <w:szCs w:val="20"/>
            </w:rPr>
          </w:pPr>
          <w:r w:rsidRPr="00780D31">
            <w:rPr>
              <w:rFonts w:cs="Times New Roman"/>
              <w:sz w:val="20"/>
              <w:szCs w:val="20"/>
            </w:rPr>
            <w:t>ESETT</w:t>
          </w:r>
        </w:p>
        <w:p w:rsidR="00E73B43" w:rsidRPr="00780D31" w:rsidRDefault="00E73B43" w:rsidP="00490401">
          <w:pPr>
            <w:pStyle w:val="Header"/>
            <w:rPr>
              <w:rFonts w:cs="Times New Roman"/>
              <w:sz w:val="20"/>
              <w:szCs w:val="20"/>
            </w:rPr>
          </w:pPr>
          <w:r w:rsidRPr="00780D31">
            <w:rPr>
              <w:rFonts w:cs="Times New Roman"/>
              <w:sz w:val="20"/>
              <w:szCs w:val="20"/>
            </w:rPr>
            <w:t>HUM00096708</w:t>
          </w:r>
        </w:p>
      </w:tc>
      <w:tc>
        <w:tcPr>
          <w:tcW w:w="7701" w:type="dxa"/>
        </w:tcPr>
        <w:p w:rsidR="00E73B43" w:rsidRPr="00780D31" w:rsidRDefault="00E73B43" w:rsidP="00490401">
          <w:pPr>
            <w:pStyle w:val="Header"/>
            <w:rPr>
              <w:rFonts w:cs="Times New Roman"/>
              <w:sz w:val="20"/>
              <w:szCs w:val="20"/>
            </w:rPr>
          </w:pPr>
          <w:r w:rsidRPr="00780D31">
            <w:rPr>
              <w:rFonts w:cs="Times New Roman"/>
              <w:sz w:val="20"/>
              <w:szCs w:val="20"/>
            </w:rPr>
            <w:t>Study Title: Established Status Epilepticus Treatment Trial (ESETT)</w:t>
          </w:r>
        </w:p>
        <w:p w:rsidR="00E73B43" w:rsidRDefault="00E73B43" w:rsidP="00490401">
          <w:pPr>
            <w:pStyle w:val="Header"/>
            <w:rPr>
              <w:rFonts w:cs="Times New Roman"/>
              <w:sz w:val="20"/>
              <w:szCs w:val="20"/>
            </w:rPr>
          </w:pPr>
          <w:r w:rsidRPr="00780D31">
            <w:rPr>
              <w:rFonts w:cs="Times New Roman"/>
              <w:sz w:val="20"/>
              <w:szCs w:val="20"/>
            </w:rPr>
            <w:t xml:space="preserve">A multicenter, randomized, blinded, comparative effectiveness study of </w:t>
          </w:r>
          <w:proofErr w:type="spellStart"/>
          <w:r w:rsidRPr="00780D31">
            <w:rPr>
              <w:rFonts w:cs="Times New Roman"/>
              <w:sz w:val="20"/>
              <w:szCs w:val="20"/>
            </w:rPr>
            <w:t>fosphenytoin</w:t>
          </w:r>
          <w:proofErr w:type="spellEnd"/>
          <w:r w:rsidRPr="00780D31">
            <w:rPr>
              <w:rFonts w:cs="Times New Roman"/>
              <w:sz w:val="20"/>
              <w:szCs w:val="20"/>
            </w:rPr>
            <w:t xml:space="preserve">, </w:t>
          </w:r>
          <w:proofErr w:type="spellStart"/>
          <w:r w:rsidRPr="00780D31">
            <w:rPr>
              <w:rFonts w:cs="Times New Roman"/>
              <w:sz w:val="20"/>
              <w:szCs w:val="20"/>
            </w:rPr>
            <w:t>valproic</w:t>
          </w:r>
          <w:proofErr w:type="spellEnd"/>
          <w:r w:rsidRPr="00780D31">
            <w:rPr>
              <w:rFonts w:cs="Times New Roman"/>
              <w:sz w:val="20"/>
              <w:szCs w:val="20"/>
            </w:rPr>
            <w:t xml:space="preserve"> acid, or </w:t>
          </w:r>
          <w:proofErr w:type="spellStart"/>
          <w:r w:rsidRPr="00780D31">
            <w:rPr>
              <w:rFonts w:cs="Times New Roman"/>
              <w:sz w:val="20"/>
              <w:szCs w:val="20"/>
            </w:rPr>
            <w:t>levetiracetam</w:t>
          </w:r>
          <w:proofErr w:type="spellEnd"/>
          <w:r w:rsidRPr="00780D31">
            <w:rPr>
              <w:rFonts w:cs="Times New Roman"/>
              <w:sz w:val="20"/>
              <w:szCs w:val="20"/>
            </w:rPr>
            <w:t xml:space="preserve"> in the emergency department treatment of patients with benzodiazepine-refractory status epilepticus.</w:t>
          </w:r>
        </w:p>
        <w:p w:rsidR="00E73B43" w:rsidRDefault="00E73B43" w:rsidP="00490401">
          <w:pPr>
            <w:pStyle w:val="Header"/>
            <w:rPr>
              <w:rFonts w:cs="Times New Roman"/>
              <w:sz w:val="20"/>
              <w:szCs w:val="20"/>
            </w:rPr>
          </w:pPr>
        </w:p>
        <w:p w:rsidR="00E73B43" w:rsidRDefault="00E73B43" w:rsidP="00490401">
          <w:pPr>
            <w:pStyle w:val="Header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PI PEDS: A. Rogers, MD</w:t>
          </w:r>
        </w:p>
        <w:p w:rsidR="00E73B43" w:rsidRPr="00780D31" w:rsidRDefault="00E73B43" w:rsidP="00490401">
          <w:pPr>
            <w:pStyle w:val="Header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PI Adult: R. Silbergleit, MD</w:t>
          </w:r>
        </w:p>
      </w:tc>
    </w:tr>
  </w:tbl>
  <w:p w:rsidR="00E73B43" w:rsidRDefault="00E73B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29C"/>
    <w:multiLevelType w:val="hybridMultilevel"/>
    <w:tmpl w:val="FA4E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B3A17"/>
    <w:multiLevelType w:val="hybridMultilevel"/>
    <w:tmpl w:val="0F20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A6A4A"/>
    <w:multiLevelType w:val="hybridMultilevel"/>
    <w:tmpl w:val="3620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43"/>
    <w:rsid w:val="000834CA"/>
    <w:rsid w:val="00095C9F"/>
    <w:rsid w:val="000D11D1"/>
    <w:rsid w:val="000D5F65"/>
    <w:rsid w:val="000D7A22"/>
    <w:rsid w:val="00150911"/>
    <w:rsid w:val="0017268A"/>
    <w:rsid w:val="00201D28"/>
    <w:rsid w:val="0024159D"/>
    <w:rsid w:val="003F34CD"/>
    <w:rsid w:val="00514E2D"/>
    <w:rsid w:val="005678B5"/>
    <w:rsid w:val="005A6BF6"/>
    <w:rsid w:val="00607831"/>
    <w:rsid w:val="00647422"/>
    <w:rsid w:val="00717699"/>
    <w:rsid w:val="007D215E"/>
    <w:rsid w:val="00801BC3"/>
    <w:rsid w:val="00884C91"/>
    <w:rsid w:val="008B5279"/>
    <w:rsid w:val="00903F64"/>
    <w:rsid w:val="00912F7C"/>
    <w:rsid w:val="009F569F"/>
    <w:rsid w:val="00A13DE9"/>
    <w:rsid w:val="00A21CAE"/>
    <w:rsid w:val="00A24CF0"/>
    <w:rsid w:val="00A913A4"/>
    <w:rsid w:val="00B01B50"/>
    <w:rsid w:val="00BC4291"/>
    <w:rsid w:val="00BD419B"/>
    <w:rsid w:val="00C502BD"/>
    <w:rsid w:val="00C875E9"/>
    <w:rsid w:val="00CB3863"/>
    <w:rsid w:val="00CC458F"/>
    <w:rsid w:val="00D32369"/>
    <w:rsid w:val="00E73B43"/>
    <w:rsid w:val="00EE7DCB"/>
    <w:rsid w:val="00EF6446"/>
    <w:rsid w:val="00F07A9D"/>
    <w:rsid w:val="00FA433C"/>
    <w:rsid w:val="00FD01C9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B43"/>
  </w:style>
  <w:style w:type="paragraph" w:styleId="Footer">
    <w:name w:val="footer"/>
    <w:basedOn w:val="Normal"/>
    <w:link w:val="FooterChar"/>
    <w:uiPriority w:val="99"/>
    <w:unhideWhenUsed/>
    <w:rsid w:val="00E7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43"/>
  </w:style>
  <w:style w:type="table" w:styleId="TableGrid">
    <w:name w:val="Table Grid"/>
    <w:basedOn w:val="TableNormal"/>
    <w:uiPriority w:val="59"/>
    <w:rsid w:val="00E7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21CAE"/>
    <w:rPr>
      <w:b/>
      <w:bCs/>
    </w:rPr>
  </w:style>
  <w:style w:type="paragraph" w:styleId="NormalWeb">
    <w:name w:val="Normal (Web)"/>
    <w:basedOn w:val="Normal"/>
    <w:uiPriority w:val="99"/>
    <w:unhideWhenUsed/>
    <w:rsid w:val="00A21CAE"/>
    <w:pPr>
      <w:spacing w:after="15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D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3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B43"/>
  </w:style>
  <w:style w:type="paragraph" w:styleId="Footer">
    <w:name w:val="footer"/>
    <w:basedOn w:val="Normal"/>
    <w:link w:val="FooterChar"/>
    <w:uiPriority w:val="99"/>
    <w:unhideWhenUsed/>
    <w:rsid w:val="00E7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43"/>
  </w:style>
  <w:style w:type="table" w:styleId="TableGrid">
    <w:name w:val="Table Grid"/>
    <w:basedOn w:val="TableNormal"/>
    <w:uiPriority w:val="59"/>
    <w:rsid w:val="00E7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21CAE"/>
    <w:rPr>
      <w:b/>
      <w:bCs/>
    </w:rPr>
  </w:style>
  <w:style w:type="paragraph" w:styleId="NormalWeb">
    <w:name w:val="Normal (Web)"/>
    <w:basedOn w:val="Normal"/>
    <w:uiPriority w:val="99"/>
    <w:unhideWhenUsed/>
    <w:rsid w:val="00A21CAE"/>
    <w:pPr>
      <w:spacing w:after="15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D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Restricted\emergency_medicine\PECARN\ESETT\Training%20Materials\Infusion%20Instructions\Procedure%20Demonstration%20for%20Max%20Dose_NKH.doc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S:\Restricted\emergency_medicine\PECARN\ESETT\Training%20Materials\Pocket%20Cards\Nursing\Nurse%20Pocket%20Card%20(Back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S:\Restricted\emergency_medicine\PECARN\ESETT\Training%20Materials\Pocket%20Cards\Nursing\Nurse%20Pocket%20Card%20(Front)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S:\Restricted\emergency_medicine\PECARN\ESETT\Use-Next%20Box%20Materials\ESETT%20card%20for%20box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S:\Restricted\emergency_medicine\PECARN\ESETT\Training%20Materials\FINAL%20poster.2pdf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Herzog, Noelle</dc:creator>
  <cp:lastModifiedBy>Joy Pinkerton</cp:lastModifiedBy>
  <cp:revision>2</cp:revision>
  <cp:lastPrinted>2016-02-18T22:49:00Z</cp:lastPrinted>
  <dcterms:created xsi:type="dcterms:W3CDTF">2016-10-06T13:33:00Z</dcterms:created>
  <dcterms:modified xsi:type="dcterms:W3CDTF">2016-10-06T13:33:00Z</dcterms:modified>
</cp:coreProperties>
</file>